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3E42" w:rsidRDefault="00CA7C77" w:rsidP="00AE0E79">
      <w:r>
        <w:t>These markings are per AWWA (American Water Works Assoc.)</w:t>
      </w:r>
      <w:r w:rsidR="00E16E76">
        <w:t xml:space="preserve"> Adopted by the NFPA</w:t>
      </w:r>
    </w:p>
    <w:p w:rsidR="000341A6" w:rsidRDefault="000341A6" w:rsidP="000341A6">
      <w:pPr>
        <w:spacing w:after="0" w:line="240" w:lineRule="auto"/>
        <w:rPr>
          <w:b/>
          <w:bCs/>
        </w:rPr>
      </w:pPr>
      <w:r w:rsidRPr="000341A6">
        <w:t xml:space="preserve">5.1 </w:t>
      </w:r>
      <w:r w:rsidRPr="000341A6">
        <w:rPr>
          <w:b/>
          <w:bCs/>
        </w:rPr>
        <w:t xml:space="preserve">Classification of Hydrants. </w:t>
      </w:r>
    </w:p>
    <w:p w:rsidR="000341A6" w:rsidRPr="000341A6" w:rsidRDefault="000341A6" w:rsidP="000341A6">
      <w:pPr>
        <w:spacing w:after="0" w:line="240" w:lineRule="auto"/>
      </w:pPr>
      <w:r w:rsidRPr="000341A6">
        <w:t>Hydrants should be classified</w:t>
      </w:r>
      <w:r>
        <w:t xml:space="preserve"> </w:t>
      </w:r>
      <w:r w:rsidRPr="000341A6">
        <w:t xml:space="preserve">in accordance with their rated capacities [at 20 psi (1.4 </w:t>
      </w:r>
      <w:proofErr w:type="gramStart"/>
      <w:r w:rsidRPr="000341A6">
        <w:t>bar</w:t>
      </w:r>
      <w:proofErr w:type="gramEnd"/>
      <w:r w:rsidRPr="000341A6">
        <w:t>)</w:t>
      </w:r>
      <w:r>
        <w:t xml:space="preserve"> </w:t>
      </w:r>
      <w:r w:rsidRPr="000341A6">
        <w:t>residual pressure or other designated value] as follows:</w:t>
      </w:r>
    </w:p>
    <w:p w:rsidR="000341A6" w:rsidRPr="000341A6" w:rsidRDefault="000341A6" w:rsidP="000341A6">
      <w:pPr>
        <w:spacing w:after="0" w:line="240" w:lineRule="auto"/>
        <w:ind w:left="720"/>
      </w:pPr>
      <w:r w:rsidRPr="000341A6">
        <w:t xml:space="preserve">(1) Class </w:t>
      </w:r>
      <w:r w:rsidRPr="000341A6">
        <w:rPr>
          <w:b/>
          <w:bCs/>
        </w:rPr>
        <w:t xml:space="preserve">AA </w:t>
      </w:r>
      <w:r w:rsidRPr="000341A6">
        <w:t xml:space="preserve">- Rated capacity of 1500 </w:t>
      </w:r>
      <w:proofErr w:type="spellStart"/>
      <w:r w:rsidRPr="000341A6">
        <w:t>gprn</w:t>
      </w:r>
      <w:proofErr w:type="spellEnd"/>
      <w:r w:rsidRPr="000341A6">
        <w:t xml:space="preserve"> (5680 L/min) or</w:t>
      </w:r>
      <w:r>
        <w:t xml:space="preserve"> </w:t>
      </w:r>
      <w:r w:rsidRPr="000341A6">
        <w:t>greater</w:t>
      </w:r>
    </w:p>
    <w:p w:rsidR="000341A6" w:rsidRPr="000341A6" w:rsidRDefault="000341A6" w:rsidP="000341A6">
      <w:pPr>
        <w:spacing w:after="0" w:line="240" w:lineRule="auto"/>
        <w:ind w:left="720"/>
      </w:pPr>
      <w:r w:rsidRPr="000341A6">
        <w:t xml:space="preserve">(2) Class A - Rated capacity of 1000-1499 </w:t>
      </w:r>
      <w:proofErr w:type="spellStart"/>
      <w:r w:rsidRPr="000341A6">
        <w:t>gpm</w:t>
      </w:r>
      <w:proofErr w:type="spellEnd"/>
      <w:r w:rsidRPr="000341A6">
        <w:t xml:space="preserve"> (3785-5675</w:t>
      </w:r>
      <w:r>
        <w:t xml:space="preserve"> </w:t>
      </w:r>
      <w:r w:rsidRPr="000341A6">
        <w:t>L/min)</w:t>
      </w:r>
    </w:p>
    <w:p w:rsidR="000341A6" w:rsidRPr="000341A6" w:rsidRDefault="000341A6" w:rsidP="000341A6">
      <w:pPr>
        <w:spacing w:after="0" w:line="240" w:lineRule="auto"/>
        <w:ind w:left="720"/>
      </w:pPr>
      <w:r w:rsidRPr="000341A6">
        <w:t xml:space="preserve">(3) Class B - Rated capacity of 500-999 </w:t>
      </w:r>
      <w:proofErr w:type="spellStart"/>
      <w:r w:rsidRPr="000341A6">
        <w:t>gprn</w:t>
      </w:r>
      <w:proofErr w:type="spellEnd"/>
      <w:r w:rsidRPr="000341A6">
        <w:t xml:space="preserve"> (1900-3780</w:t>
      </w:r>
      <w:r>
        <w:t xml:space="preserve"> </w:t>
      </w:r>
      <w:r w:rsidRPr="000341A6">
        <w:t>L/</w:t>
      </w:r>
      <w:proofErr w:type="gramStart"/>
      <w:r w:rsidRPr="000341A6">
        <w:t>min )</w:t>
      </w:r>
      <w:proofErr w:type="gramEnd"/>
    </w:p>
    <w:p w:rsidR="000341A6" w:rsidRDefault="000341A6" w:rsidP="000341A6">
      <w:pPr>
        <w:spacing w:after="0" w:line="240" w:lineRule="auto"/>
        <w:ind w:left="720"/>
      </w:pPr>
      <w:r w:rsidRPr="000341A6">
        <w:t xml:space="preserve">(4) Class C - Rated capacity of less than 500 </w:t>
      </w:r>
      <w:proofErr w:type="spellStart"/>
      <w:r w:rsidRPr="000341A6">
        <w:t>gpm</w:t>
      </w:r>
      <w:proofErr w:type="spellEnd"/>
      <w:r w:rsidRPr="000341A6">
        <w:t xml:space="preserve"> (1900</w:t>
      </w:r>
      <w:r>
        <w:t xml:space="preserve"> </w:t>
      </w:r>
      <w:r w:rsidRPr="000341A6">
        <w:t>L/min)</w:t>
      </w:r>
    </w:p>
    <w:p w:rsidR="000341A6" w:rsidRDefault="000341A6" w:rsidP="000341A6">
      <w:pPr>
        <w:spacing w:after="0" w:line="240" w:lineRule="auto"/>
      </w:pPr>
    </w:p>
    <w:p w:rsidR="00E073F9" w:rsidRPr="00E073F9" w:rsidRDefault="00E073F9" w:rsidP="00E073F9">
      <w:pPr>
        <w:rPr>
          <w:b/>
        </w:rPr>
      </w:pPr>
      <w:r w:rsidRPr="00E073F9">
        <w:rPr>
          <w:b/>
        </w:rPr>
        <w:t>5.2 Marking of Hydrants.</w:t>
      </w:r>
    </w:p>
    <w:tbl>
      <w:tblPr>
        <w:tblStyle w:val="TableGrid"/>
        <w:tblW w:w="0" w:type="auto"/>
        <w:tblLook w:val="04A0"/>
      </w:tblPr>
      <w:tblGrid>
        <w:gridCol w:w="3672"/>
        <w:gridCol w:w="3672"/>
        <w:gridCol w:w="3672"/>
      </w:tblGrid>
      <w:tr w:rsidR="00481BF7" w:rsidRPr="00481BF7" w:rsidTr="00481BF7">
        <w:tc>
          <w:tcPr>
            <w:tcW w:w="3672" w:type="dxa"/>
          </w:tcPr>
          <w:p w:rsidR="00481BF7" w:rsidRPr="00481BF7" w:rsidRDefault="00481BF7" w:rsidP="000341A6">
            <w:pPr>
              <w:jc w:val="center"/>
              <w:rPr>
                <w:b/>
              </w:rPr>
            </w:pPr>
            <w:r w:rsidRPr="00481BF7">
              <w:rPr>
                <w:b/>
              </w:rPr>
              <w:t>Class</w:t>
            </w:r>
          </w:p>
        </w:tc>
        <w:tc>
          <w:tcPr>
            <w:tcW w:w="3672" w:type="dxa"/>
          </w:tcPr>
          <w:p w:rsidR="00481BF7" w:rsidRPr="00481BF7" w:rsidRDefault="00481BF7" w:rsidP="00481BF7">
            <w:pPr>
              <w:jc w:val="center"/>
              <w:rPr>
                <w:b/>
              </w:rPr>
            </w:pPr>
            <w:r w:rsidRPr="00481BF7">
              <w:rPr>
                <w:b/>
              </w:rPr>
              <w:t>Color</w:t>
            </w:r>
          </w:p>
        </w:tc>
        <w:tc>
          <w:tcPr>
            <w:tcW w:w="3672" w:type="dxa"/>
          </w:tcPr>
          <w:p w:rsidR="00481BF7" w:rsidRPr="00481BF7" w:rsidRDefault="00481BF7" w:rsidP="00481BF7">
            <w:pPr>
              <w:jc w:val="center"/>
              <w:rPr>
                <w:b/>
              </w:rPr>
            </w:pPr>
            <w:r w:rsidRPr="00481BF7">
              <w:rPr>
                <w:b/>
              </w:rPr>
              <w:t>Flow Capacity</w:t>
            </w:r>
          </w:p>
        </w:tc>
      </w:tr>
      <w:tr w:rsidR="00481BF7" w:rsidTr="00481BF7">
        <w:tc>
          <w:tcPr>
            <w:tcW w:w="3672" w:type="dxa"/>
          </w:tcPr>
          <w:p w:rsidR="00481BF7" w:rsidRDefault="00481BF7" w:rsidP="00481BF7">
            <w:pPr>
              <w:jc w:val="center"/>
            </w:pPr>
            <w:r>
              <w:t>AA</w:t>
            </w:r>
          </w:p>
        </w:tc>
        <w:tc>
          <w:tcPr>
            <w:tcW w:w="3672" w:type="dxa"/>
          </w:tcPr>
          <w:p w:rsidR="00481BF7" w:rsidRDefault="000F60DE" w:rsidP="00481BF7">
            <w:pPr>
              <w:jc w:val="center"/>
            </w:pPr>
            <w:r>
              <w:t xml:space="preserve">Light </w:t>
            </w:r>
            <w:r w:rsidR="00481BF7">
              <w:t>Blue Bonnet</w:t>
            </w:r>
          </w:p>
          <w:p w:rsidR="00481BF7" w:rsidRDefault="00481BF7" w:rsidP="00481BF7">
            <w:pPr>
              <w:jc w:val="center"/>
            </w:pPr>
            <w:r w:rsidRPr="00481BF7">
              <w:rPr>
                <w:noProof/>
              </w:rPr>
              <w:drawing>
                <wp:inline distT="0" distB="0" distL="0" distR="0">
                  <wp:extent cx="953692" cy="1605064"/>
                  <wp:effectExtent l="19050" t="0" r="0" b="0"/>
                  <wp:docPr id="8" name="Picture 8" descr="Blue Fire Hydr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lue Fire Hydrant"/>
                          <pic:cNvPicPr>
                            <a:picLocks noChangeAspect="1" noChangeArrowheads="1"/>
                          </pic:cNvPicPr>
                        </pic:nvPicPr>
                        <pic:blipFill>
                          <a:blip r:embed="rId8" cstate="print"/>
                          <a:srcRect/>
                          <a:stretch>
                            <a:fillRect/>
                          </a:stretch>
                        </pic:blipFill>
                        <pic:spPr bwMode="auto">
                          <a:xfrm>
                            <a:off x="0" y="0"/>
                            <a:ext cx="952500" cy="1603058"/>
                          </a:xfrm>
                          <a:prstGeom prst="rect">
                            <a:avLst/>
                          </a:prstGeom>
                          <a:noFill/>
                          <a:ln w="9525">
                            <a:noFill/>
                            <a:miter lim="800000"/>
                            <a:headEnd/>
                            <a:tailEnd/>
                          </a:ln>
                        </pic:spPr>
                      </pic:pic>
                    </a:graphicData>
                  </a:graphic>
                </wp:inline>
              </w:drawing>
            </w:r>
          </w:p>
        </w:tc>
        <w:tc>
          <w:tcPr>
            <w:tcW w:w="3672" w:type="dxa"/>
          </w:tcPr>
          <w:p w:rsidR="00481BF7" w:rsidRDefault="00481BF7" w:rsidP="00481BF7">
            <w:pPr>
              <w:jc w:val="center"/>
            </w:pPr>
            <w:r>
              <w:t xml:space="preserve">1,500 </w:t>
            </w:r>
            <w:proofErr w:type="spellStart"/>
            <w:r>
              <w:t>gpm</w:t>
            </w:r>
            <w:proofErr w:type="spellEnd"/>
            <w:r>
              <w:t xml:space="preserve"> and above</w:t>
            </w:r>
          </w:p>
        </w:tc>
      </w:tr>
      <w:tr w:rsidR="00481BF7" w:rsidTr="00481BF7">
        <w:tc>
          <w:tcPr>
            <w:tcW w:w="3672" w:type="dxa"/>
          </w:tcPr>
          <w:p w:rsidR="00481BF7" w:rsidRDefault="00481BF7" w:rsidP="00481BF7">
            <w:pPr>
              <w:jc w:val="center"/>
            </w:pPr>
            <w:r>
              <w:t>A</w:t>
            </w:r>
          </w:p>
        </w:tc>
        <w:tc>
          <w:tcPr>
            <w:tcW w:w="3672" w:type="dxa"/>
          </w:tcPr>
          <w:p w:rsidR="00481BF7" w:rsidRDefault="00481BF7" w:rsidP="00481BF7">
            <w:pPr>
              <w:jc w:val="center"/>
            </w:pPr>
            <w:r>
              <w:t>Green Bonnet</w:t>
            </w:r>
          </w:p>
          <w:p w:rsidR="00481BF7" w:rsidRDefault="00481BF7" w:rsidP="00481BF7">
            <w:pPr>
              <w:jc w:val="center"/>
            </w:pPr>
            <w:r w:rsidRPr="00481BF7">
              <w:rPr>
                <w:noProof/>
              </w:rPr>
              <w:drawing>
                <wp:inline distT="0" distB="0" distL="0" distR="0">
                  <wp:extent cx="953692" cy="1663430"/>
                  <wp:effectExtent l="19050" t="0" r="0" b="0"/>
                  <wp:docPr id="18" name="Picture 18" descr="Green Fire Hydr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Green Fire Hydrant"/>
                          <pic:cNvPicPr>
                            <a:picLocks noChangeAspect="1" noChangeArrowheads="1"/>
                          </pic:cNvPicPr>
                        </pic:nvPicPr>
                        <pic:blipFill>
                          <a:blip r:embed="rId9" cstate="print"/>
                          <a:srcRect/>
                          <a:stretch>
                            <a:fillRect/>
                          </a:stretch>
                        </pic:blipFill>
                        <pic:spPr bwMode="auto">
                          <a:xfrm>
                            <a:off x="0" y="0"/>
                            <a:ext cx="952500" cy="1661350"/>
                          </a:xfrm>
                          <a:prstGeom prst="rect">
                            <a:avLst/>
                          </a:prstGeom>
                          <a:noFill/>
                          <a:ln w="9525">
                            <a:noFill/>
                            <a:miter lim="800000"/>
                            <a:headEnd/>
                            <a:tailEnd/>
                          </a:ln>
                        </pic:spPr>
                      </pic:pic>
                    </a:graphicData>
                  </a:graphic>
                </wp:inline>
              </w:drawing>
            </w:r>
          </w:p>
        </w:tc>
        <w:tc>
          <w:tcPr>
            <w:tcW w:w="3672" w:type="dxa"/>
          </w:tcPr>
          <w:p w:rsidR="00481BF7" w:rsidRDefault="00481BF7" w:rsidP="00481BF7">
            <w:pPr>
              <w:jc w:val="center"/>
            </w:pPr>
            <w:r>
              <w:t xml:space="preserve">1,000 </w:t>
            </w:r>
            <w:proofErr w:type="spellStart"/>
            <w:r>
              <w:t>gpm</w:t>
            </w:r>
            <w:proofErr w:type="spellEnd"/>
            <w:r>
              <w:t xml:space="preserve"> or greater</w:t>
            </w:r>
          </w:p>
        </w:tc>
      </w:tr>
      <w:tr w:rsidR="000F60DE" w:rsidTr="000F60DE">
        <w:tc>
          <w:tcPr>
            <w:tcW w:w="3672" w:type="dxa"/>
          </w:tcPr>
          <w:p w:rsidR="000F60DE" w:rsidRDefault="000F60DE" w:rsidP="000F60DE">
            <w:pPr>
              <w:jc w:val="center"/>
            </w:pPr>
            <w:r>
              <w:t>B</w:t>
            </w:r>
          </w:p>
        </w:tc>
        <w:tc>
          <w:tcPr>
            <w:tcW w:w="3672" w:type="dxa"/>
          </w:tcPr>
          <w:p w:rsidR="000F60DE" w:rsidRDefault="000F60DE" w:rsidP="000F60DE">
            <w:pPr>
              <w:jc w:val="center"/>
            </w:pPr>
            <w:r>
              <w:t>Orange Bonnet</w:t>
            </w:r>
          </w:p>
          <w:p w:rsidR="000F60DE" w:rsidRDefault="000F60DE" w:rsidP="000F60DE">
            <w:pPr>
              <w:jc w:val="center"/>
            </w:pPr>
            <w:r w:rsidRPr="00481BF7">
              <w:rPr>
                <w:noProof/>
              </w:rPr>
              <w:drawing>
                <wp:inline distT="0" distB="0" distL="0" distR="0">
                  <wp:extent cx="953692" cy="1731523"/>
                  <wp:effectExtent l="19050" t="0" r="0" b="0"/>
                  <wp:docPr id="1" name="Picture 26" descr="Orange Fire Hydr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Orange Fire Hydrant"/>
                          <pic:cNvPicPr>
                            <a:picLocks noChangeAspect="1" noChangeArrowheads="1"/>
                          </pic:cNvPicPr>
                        </pic:nvPicPr>
                        <pic:blipFill>
                          <a:blip r:embed="rId10" cstate="print"/>
                          <a:srcRect/>
                          <a:stretch>
                            <a:fillRect/>
                          </a:stretch>
                        </pic:blipFill>
                        <pic:spPr bwMode="auto">
                          <a:xfrm>
                            <a:off x="0" y="0"/>
                            <a:ext cx="952500" cy="1729359"/>
                          </a:xfrm>
                          <a:prstGeom prst="rect">
                            <a:avLst/>
                          </a:prstGeom>
                          <a:noFill/>
                          <a:ln w="9525">
                            <a:noFill/>
                            <a:miter lim="800000"/>
                            <a:headEnd/>
                            <a:tailEnd/>
                          </a:ln>
                        </pic:spPr>
                      </pic:pic>
                    </a:graphicData>
                  </a:graphic>
                </wp:inline>
              </w:drawing>
            </w:r>
          </w:p>
        </w:tc>
        <w:tc>
          <w:tcPr>
            <w:tcW w:w="3672" w:type="dxa"/>
          </w:tcPr>
          <w:p w:rsidR="000F60DE" w:rsidRDefault="000F60DE" w:rsidP="000F60DE">
            <w:pPr>
              <w:jc w:val="center"/>
            </w:pPr>
            <w:r>
              <w:t xml:space="preserve">500 to 1,000 </w:t>
            </w:r>
            <w:proofErr w:type="spellStart"/>
            <w:r>
              <w:t>gpm</w:t>
            </w:r>
            <w:proofErr w:type="spellEnd"/>
          </w:p>
        </w:tc>
      </w:tr>
      <w:tr w:rsidR="000F60DE" w:rsidTr="000F60DE">
        <w:tc>
          <w:tcPr>
            <w:tcW w:w="3672" w:type="dxa"/>
          </w:tcPr>
          <w:p w:rsidR="000F60DE" w:rsidRDefault="000F60DE" w:rsidP="000F60DE">
            <w:pPr>
              <w:jc w:val="center"/>
            </w:pPr>
            <w:r>
              <w:lastRenderedPageBreak/>
              <w:t>C</w:t>
            </w:r>
          </w:p>
        </w:tc>
        <w:tc>
          <w:tcPr>
            <w:tcW w:w="3672" w:type="dxa"/>
          </w:tcPr>
          <w:p w:rsidR="000F60DE" w:rsidRDefault="000F60DE" w:rsidP="000F60DE">
            <w:pPr>
              <w:jc w:val="center"/>
            </w:pPr>
            <w:r>
              <w:t>Red Bonnet</w:t>
            </w:r>
          </w:p>
          <w:p w:rsidR="000F60DE" w:rsidRDefault="000F60DE" w:rsidP="000F60DE">
            <w:pPr>
              <w:jc w:val="center"/>
            </w:pPr>
            <w:r w:rsidRPr="00F34BEC">
              <w:rPr>
                <w:noProof/>
              </w:rPr>
              <w:drawing>
                <wp:inline distT="0" distB="0" distL="0" distR="0">
                  <wp:extent cx="953692" cy="1819072"/>
                  <wp:effectExtent l="19050" t="0" r="0" b="0"/>
                  <wp:docPr id="2" name="Picture 34" descr="Red Fire Hydr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Red Fire Hydrant"/>
                          <pic:cNvPicPr>
                            <a:picLocks noChangeAspect="1" noChangeArrowheads="1"/>
                          </pic:cNvPicPr>
                        </pic:nvPicPr>
                        <pic:blipFill>
                          <a:blip r:embed="rId11" cstate="print"/>
                          <a:srcRect/>
                          <a:stretch>
                            <a:fillRect/>
                          </a:stretch>
                        </pic:blipFill>
                        <pic:spPr bwMode="auto">
                          <a:xfrm>
                            <a:off x="0" y="0"/>
                            <a:ext cx="952500" cy="1816798"/>
                          </a:xfrm>
                          <a:prstGeom prst="rect">
                            <a:avLst/>
                          </a:prstGeom>
                          <a:noFill/>
                          <a:ln w="9525">
                            <a:noFill/>
                            <a:miter lim="800000"/>
                            <a:headEnd/>
                            <a:tailEnd/>
                          </a:ln>
                        </pic:spPr>
                      </pic:pic>
                    </a:graphicData>
                  </a:graphic>
                </wp:inline>
              </w:drawing>
            </w:r>
          </w:p>
        </w:tc>
        <w:tc>
          <w:tcPr>
            <w:tcW w:w="3672" w:type="dxa"/>
          </w:tcPr>
          <w:p w:rsidR="000F60DE" w:rsidRDefault="000F60DE" w:rsidP="000F60DE">
            <w:pPr>
              <w:jc w:val="center"/>
            </w:pPr>
            <w:r>
              <w:t xml:space="preserve">Less than 500 </w:t>
            </w:r>
            <w:proofErr w:type="spellStart"/>
            <w:r>
              <w:t>gpm</w:t>
            </w:r>
            <w:proofErr w:type="spellEnd"/>
          </w:p>
        </w:tc>
      </w:tr>
      <w:tr w:rsidR="000F60DE" w:rsidTr="000F60DE">
        <w:tc>
          <w:tcPr>
            <w:tcW w:w="3672" w:type="dxa"/>
          </w:tcPr>
          <w:p w:rsidR="000F60DE" w:rsidRDefault="000F60DE" w:rsidP="00F73781">
            <w:pPr>
              <w:jc w:val="center"/>
            </w:pPr>
          </w:p>
        </w:tc>
        <w:tc>
          <w:tcPr>
            <w:tcW w:w="3672" w:type="dxa"/>
          </w:tcPr>
          <w:p w:rsidR="000F60DE" w:rsidRDefault="00F73781" w:rsidP="00F73781">
            <w:pPr>
              <w:jc w:val="center"/>
            </w:pPr>
            <w:r>
              <w:t>White Bonnet</w:t>
            </w:r>
          </w:p>
          <w:p w:rsidR="00F73781" w:rsidRDefault="00F73781" w:rsidP="00F73781">
            <w:pPr>
              <w:jc w:val="center"/>
            </w:pPr>
            <w:r>
              <w:t>Means below 500 and is being tested</w:t>
            </w:r>
          </w:p>
        </w:tc>
        <w:tc>
          <w:tcPr>
            <w:tcW w:w="3672" w:type="dxa"/>
          </w:tcPr>
          <w:p w:rsidR="000F60DE" w:rsidRDefault="000F60DE" w:rsidP="00F73781">
            <w:pPr>
              <w:jc w:val="center"/>
            </w:pPr>
          </w:p>
        </w:tc>
      </w:tr>
    </w:tbl>
    <w:p w:rsidR="000F60DE" w:rsidRDefault="009E33E7" w:rsidP="00AE0E79">
      <w:r>
        <w:t>Note what will also</w:t>
      </w:r>
      <w:r w:rsidR="00DF4E38">
        <w:t xml:space="preserve"> change </w:t>
      </w:r>
      <w:r w:rsidR="00021367">
        <w:t>is..:</w:t>
      </w:r>
    </w:p>
    <w:p w:rsidR="009E33E7" w:rsidRPr="009E33E7" w:rsidRDefault="009E33E7" w:rsidP="009E33E7">
      <w:pPr>
        <w:spacing w:after="0"/>
        <w:rPr>
          <w:b/>
        </w:rPr>
      </w:pPr>
      <w:r w:rsidRPr="009E33E7">
        <w:rPr>
          <w:b/>
        </w:rPr>
        <w:t>Body Color</w:t>
      </w:r>
    </w:p>
    <w:tbl>
      <w:tblPr>
        <w:tblW w:w="9000" w:type="dxa"/>
        <w:jc w:val="center"/>
        <w:tblCellSpacing w:w="15" w:type="dxa"/>
        <w:tblBorders>
          <w:top w:val="outset" w:sz="48" w:space="0" w:color="auto"/>
          <w:left w:val="outset" w:sz="48" w:space="0" w:color="auto"/>
          <w:bottom w:val="outset" w:sz="48" w:space="0" w:color="auto"/>
          <w:right w:val="outset" w:sz="48" w:space="0" w:color="auto"/>
        </w:tblBorders>
        <w:tblCellMar>
          <w:top w:w="30" w:type="dxa"/>
          <w:left w:w="30" w:type="dxa"/>
          <w:bottom w:w="30" w:type="dxa"/>
          <w:right w:w="30" w:type="dxa"/>
        </w:tblCellMar>
        <w:tblLook w:val="04A0"/>
      </w:tblPr>
      <w:tblGrid>
        <w:gridCol w:w="2843"/>
        <w:gridCol w:w="1907"/>
        <w:gridCol w:w="4250"/>
      </w:tblGrid>
      <w:tr w:rsidR="00DF4E38" w:rsidRPr="00DF4E38">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F4E38" w:rsidRPr="00DF4E38" w:rsidRDefault="00DF4E38" w:rsidP="009E33E7">
            <w:pPr>
              <w:spacing w:after="0"/>
              <w:rPr>
                <w:b/>
                <w:color w:val="00B050"/>
              </w:rPr>
            </w:pPr>
            <w:bookmarkStart w:id="0" w:name="1"/>
            <w:r w:rsidRPr="00DF4E38">
              <w:rPr>
                <w:b/>
                <w:color w:val="00B050"/>
              </w:rPr>
              <w:t>GREEN</w:t>
            </w:r>
          </w:p>
        </w:tc>
        <w:tc>
          <w:tcPr>
            <w:tcW w:w="0" w:type="auto"/>
            <w:tcBorders>
              <w:top w:val="outset" w:sz="6" w:space="0" w:color="auto"/>
              <w:left w:val="outset" w:sz="6" w:space="0" w:color="auto"/>
              <w:bottom w:val="outset" w:sz="6" w:space="0" w:color="auto"/>
              <w:right w:val="outset" w:sz="6" w:space="0" w:color="auto"/>
            </w:tcBorders>
            <w:vAlign w:val="center"/>
            <w:hideMark/>
          </w:tcPr>
          <w:p w:rsidR="00DF4E38" w:rsidRPr="00DF4E38" w:rsidRDefault="00DF4E38" w:rsidP="00DF4E38">
            <w:pPr>
              <w:jc w:val="center"/>
            </w:pPr>
            <w:r w:rsidRPr="00DF4E38">
              <w:t xml:space="preserve">Over 120 </w:t>
            </w:r>
            <w:proofErr w:type="spellStart"/>
            <w:r w:rsidRPr="00DF4E38">
              <w:t>p.s.i</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DF4E38" w:rsidRPr="00DF4E38" w:rsidRDefault="00DF4E38" w:rsidP="00DF4E38">
            <w:r w:rsidRPr="00DF4E38">
              <w:t>Extremely high pressure (caution!)</w:t>
            </w:r>
          </w:p>
        </w:tc>
      </w:tr>
      <w:tr w:rsidR="00DF4E38" w:rsidRPr="00DF4E38">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F4E38" w:rsidRPr="00DF4E38" w:rsidRDefault="00DF4E38" w:rsidP="009E33E7">
            <w:pPr>
              <w:spacing w:after="0"/>
              <w:rPr>
                <w:b/>
                <w:color w:val="E36C0A" w:themeColor="accent6" w:themeShade="BF"/>
              </w:rPr>
            </w:pPr>
            <w:r w:rsidRPr="00DF4E38">
              <w:rPr>
                <w:b/>
                <w:color w:val="E36C0A" w:themeColor="accent6" w:themeShade="BF"/>
              </w:rPr>
              <w:t>ORANGE</w:t>
            </w:r>
            <w:r w:rsidR="009E33E7">
              <w:rPr>
                <w:b/>
                <w:color w:val="E36C0A" w:themeColor="accent6" w:themeShade="BF"/>
              </w:rPr>
              <w:t>/</w:t>
            </w:r>
            <w:r w:rsidR="009E33E7" w:rsidRPr="009E33E7">
              <w:rPr>
                <w:b/>
                <w:color w:val="F79646" w:themeColor="accent6"/>
              </w:rPr>
              <w:t>YELLOW</w:t>
            </w:r>
          </w:p>
        </w:tc>
        <w:tc>
          <w:tcPr>
            <w:tcW w:w="0" w:type="auto"/>
            <w:tcBorders>
              <w:top w:val="outset" w:sz="6" w:space="0" w:color="auto"/>
              <w:left w:val="outset" w:sz="6" w:space="0" w:color="auto"/>
              <w:bottom w:val="outset" w:sz="6" w:space="0" w:color="auto"/>
              <w:right w:val="outset" w:sz="6" w:space="0" w:color="auto"/>
            </w:tcBorders>
            <w:vAlign w:val="center"/>
            <w:hideMark/>
          </w:tcPr>
          <w:p w:rsidR="00DF4E38" w:rsidRPr="00DF4E38" w:rsidRDefault="00DF4E38" w:rsidP="009E33E7">
            <w:pPr>
              <w:spacing w:after="0"/>
              <w:jc w:val="center"/>
            </w:pPr>
            <w:r w:rsidRPr="00DF4E38">
              <w:t xml:space="preserve">50-120 </w:t>
            </w:r>
            <w:proofErr w:type="spellStart"/>
            <w:r w:rsidRPr="00DF4E38">
              <w:t>p.s.i</w:t>
            </w:r>
            <w:proofErr w:type="spellEnd"/>
            <w:r w:rsidRPr="00DF4E38">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F4E38" w:rsidRPr="00DF4E38" w:rsidRDefault="00DF4E38" w:rsidP="009E33E7">
            <w:pPr>
              <w:spacing w:after="0"/>
            </w:pPr>
            <w:r w:rsidRPr="00DF4E38">
              <w:t>"Normal" pressure range</w:t>
            </w:r>
          </w:p>
        </w:tc>
      </w:tr>
      <w:tr w:rsidR="00DF4E38" w:rsidRPr="00DF4E38">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F4E38" w:rsidRPr="00DF4E38" w:rsidRDefault="00DF4E38" w:rsidP="009E33E7">
            <w:pPr>
              <w:spacing w:after="0"/>
              <w:rPr>
                <w:b/>
                <w:color w:val="FF0000"/>
              </w:rPr>
            </w:pPr>
            <w:r w:rsidRPr="00DF4E38">
              <w:rPr>
                <w:b/>
                <w:color w:val="FF0000"/>
              </w:rPr>
              <w:t>RED</w:t>
            </w:r>
          </w:p>
        </w:tc>
        <w:tc>
          <w:tcPr>
            <w:tcW w:w="0" w:type="auto"/>
            <w:tcBorders>
              <w:top w:val="outset" w:sz="6" w:space="0" w:color="auto"/>
              <w:left w:val="outset" w:sz="6" w:space="0" w:color="auto"/>
              <w:bottom w:val="outset" w:sz="6" w:space="0" w:color="auto"/>
              <w:right w:val="outset" w:sz="6" w:space="0" w:color="auto"/>
            </w:tcBorders>
            <w:vAlign w:val="center"/>
            <w:hideMark/>
          </w:tcPr>
          <w:p w:rsidR="00DF4E38" w:rsidRPr="00DF4E38" w:rsidRDefault="00DF4E38" w:rsidP="00DF4E38">
            <w:pPr>
              <w:jc w:val="center"/>
            </w:pPr>
            <w:r w:rsidRPr="00DF4E38">
              <w:t xml:space="preserve">Below 50 </w:t>
            </w:r>
            <w:proofErr w:type="spellStart"/>
            <w:r w:rsidRPr="00DF4E38">
              <w:t>p.s.i</w:t>
            </w:r>
            <w:proofErr w:type="spellEnd"/>
            <w:r w:rsidRPr="00DF4E38">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F4E38" w:rsidRPr="00DF4E38" w:rsidRDefault="00DF4E38" w:rsidP="00DF4E38">
            <w:r w:rsidRPr="00DF4E38">
              <w:t>Must be "pumped"</w:t>
            </w:r>
          </w:p>
        </w:tc>
      </w:tr>
      <w:bookmarkEnd w:id="0"/>
    </w:tbl>
    <w:p w:rsidR="00C61BEE" w:rsidRDefault="00C61BEE" w:rsidP="00AE0E79"/>
    <w:p w:rsidR="000F60DE" w:rsidRDefault="000F60DE" w:rsidP="00AE0E79"/>
    <w:tbl>
      <w:tblPr>
        <w:tblStyle w:val="TableGrid"/>
        <w:tblW w:w="0" w:type="auto"/>
        <w:tblLook w:val="04A0"/>
      </w:tblPr>
      <w:tblGrid>
        <w:gridCol w:w="11016"/>
      </w:tblGrid>
      <w:tr w:rsidR="00A9635E" w:rsidTr="00A9635E">
        <w:tc>
          <w:tcPr>
            <w:tcW w:w="11016" w:type="dxa"/>
          </w:tcPr>
          <w:p w:rsidR="00A9635E" w:rsidRPr="00A9635E" w:rsidRDefault="00A9635E" w:rsidP="00A9635E">
            <w:r w:rsidRPr="00A9635E">
              <w:t>5.2 Marking of Hydrants.</w:t>
            </w:r>
          </w:p>
          <w:p w:rsidR="00A9635E" w:rsidRPr="00A9635E" w:rsidRDefault="00A9635E" w:rsidP="00A9635E">
            <w:pPr>
              <w:ind w:left="720"/>
            </w:pPr>
            <w:r w:rsidRPr="00A9635E">
              <w:t>5.2.1 Public Hydrants.</w:t>
            </w:r>
          </w:p>
          <w:p w:rsidR="00A9635E" w:rsidRPr="00A9635E" w:rsidRDefault="00A9635E" w:rsidP="00A9635E">
            <w:pPr>
              <w:ind w:left="1440"/>
            </w:pPr>
            <w:r w:rsidRPr="00A9635E">
              <w:t>5.2.1.1 All barrels are to be chrome yellow except in cases</w:t>
            </w:r>
            <w:r>
              <w:t xml:space="preserve"> </w:t>
            </w:r>
            <w:r w:rsidRPr="00A9635E">
              <w:t>where another color has already been adopted.</w:t>
            </w:r>
          </w:p>
          <w:p w:rsidR="00A9635E" w:rsidRPr="00A9635E" w:rsidRDefault="00A9635E" w:rsidP="00A9635E">
            <w:pPr>
              <w:ind w:left="1440"/>
            </w:pPr>
            <w:r w:rsidRPr="00A9635E">
              <w:t>5.2.1.2 The tops and nozzle caps should be painted with the</w:t>
            </w:r>
            <w:r>
              <w:t xml:space="preserve"> </w:t>
            </w:r>
            <w:r w:rsidRPr="00A9635E">
              <w:t>following capacity-indicating color scheme to provide simplicity</w:t>
            </w:r>
            <w:r>
              <w:t xml:space="preserve"> </w:t>
            </w:r>
            <w:r w:rsidRPr="00A9635E">
              <w:t>and consistency with colors used in signal work for safety,</w:t>
            </w:r>
            <w:r>
              <w:t xml:space="preserve"> </w:t>
            </w:r>
            <w:r w:rsidRPr="00A9635E">
              <w:t>danger, and intermediate condition:</w:t>
            </w:r>
          </w:p>
          <w:p w:rsidR="00A9635E" w:rsidRPr="00A9635E" w:rsidRDefault="00A9635E" w:rsidP="00A9635E">
            <w:pPr>
              <w:ind w:left="2160"/>
            </w:pPr>
            <w:r w:rsidRPr="00A9635E">
              <w:t>Class AA- Light blue</w:t>
            </w:r>
          </w:p>
          <w:p w:rsidR="00A9635E" w:rsidRPr="00A9635E" w:rsidRDefault="00A9635E" w:rsidP="00A9635E">
            <w:pPr>
              <w:ind w:left="2160"/>
            </w:pPr>
            <w:r w:rsidRPr="00A9635E">
              <w:t>Class A - Green</w:t>
            </w:r>
          </w:p>
          <w:p w:rsidR="00A9635E" w:rsidRPr="00A9635E" w:rsidRDefault="00A9635E" w:rsidP="00A9635E">
            <w:pPr>
              <w:ind w:left="2160"/>
            </w:pPr>
            <w:r w:rsidRPr="00A9635E">
              <w:t>Class B - Orange</w:t>
            </w:r>
          </w:p>
          <w:p w:rsidR="00A9635E" w:rsidRPr="00A9635E" w:rsidRDefault="00A9635E" w:rsidP="00A9635E">
            <w:pPr>
              <w:ind w:left="2160"/>
            </w:pPr>
            <w:r w:rsidRPr="00A9635E">
              <w:t>Class C - Red</w:t>
            </w:r>
          </w:p>
          <w:p w:rsidR="00A9635E" w:rsidRDefault="00A9635E" w:rsidP="00A9635E">
            <w:pPr>
              <w:ind w:left="1440"/>
            </w:pPr>
            <w:r w:rsidRPr="00A9635E">
              <w:t>5.2.1.3 For rapid identification at night, it is recommended</w:t>
            </w:r>
            <w:r>
              <w:t xml:space="preserve"> </w:t>
            </w:r>
            <w:r w:rsidRPr="00A9635E">
              <w:t xml:space="preserve">that the capacity colors be of </w:t>
            </w:r>
            <w:proofErr w:type="gramStart"/>
            <w:r w:rsidRPr="00A9635E">
              <w:t>a reflective</w:t>
            </w:r>
            <w:proofErr w:type="gramEnd"/>
            <w:r w:rsidRPr="00A9635E">
              <w:t>-type paint.</w:t>
            </w:r>
          </w:p>
        </w:tc>
      </w:tr>
    </w:tbl>
    <w:p w:rsidR="00A9635E" w:rsidRDefault="00A9635E" w:rsidP="00AE0E79"/>
    <w:p w:rsidR="00A93402" w:rsidRDefault="00A93402" w:rsidP="00AE0E79"/>
    <w:p w:rsidR="00F34BEC" w:rsidRPr="00F34BEC" w:rsidRDefault="00F34BEC" w:rsidP="00F34BEC">
      <w:r w:rsidRPr="00F34BEC">
        <w:lastRenderedPageBreak/>
        <w:t>FLOW RATE AND NUMBER OF HYDRANT OUTLETS REQUIRED TO FLUSH PIPELINES</w:t>
      </w:r>
    </w:p>
    <w:tbl>
      <w:tblPr>
        <w:tblW w:w="9720" w:type="dxa"/>
        <w:jc w:val="center"/>
        <w:tblCellSpacing w:w="15" w:type="dxa"/>
        <w:tblInd w:w="-720" w:type="dxa"/>
        <w:tblBorders>
          <w:top w:val="outset" w:sz="18" w:space="0" w:color="auto"/>
          <w:left w:val="outset" w:sz="18" w:space="0" w:color="auto"/>
          <w:bottom w:val="outset" w:sz="18" w:space="0" w:color="auto"/>
          <w:right w:val="outset" w:sz="18" w:space="0" w:color="auto"/>
        </w:tblBorders>
        <w:tblCellMar>
          <w:top w:w="60" w:type="dxa"/>
          <w:left w:w="60" w:type="dxa"/>
          <w:bottom w:w="60" w:type="dxa"/>
          <w:right w:w="60" w:type="dxa"/>
        </w:tblCellMar>
        <w:tblLook w:val="04A0"/>
      </w:tblPr>
      <w:tblGrid>
        <w:gridCol w:w="2184"/>
        <w:gridCol w:w="4393"/>
        <w:gridCol w:w="3143"/>
      </w:tblGrid>
      <w:tr w:rsidR="00F34BEC" w:rsidRPr="00F34BEC" w:rsidTr="00F34BEC">
        <w:trPr>
          <w:trHeight w:val="966"/>
          <w:tblCellSpacing w:w="15" w:type="dxa"/>
          <w:jc w:val="center"/>
        </w:trPr>
        <w:tc>
          <w:tcPr>
            <w:tcW w:w="2139" w:type="dxa"/>
            <w:tcBorders>
              <w:top w:val="outset" w:sz="6" w:space="0" w:color="auto"/>
              <w:left w:val="outset" w:sz="6" w:space="0" w:color="auto"/>
              <w:bottom w:val="outset" w:sz="6" w:space="0" w:color="auto"/>
              <w:right w:val="outset" w:sz="6" w:space="0" w:color="auto"/>
            </w:tcBorders>
            <w:vAlign w:val="center"/>
            <w:hideMark/>
          </w:tcPr>
          <w:p w:rsidR="00F34BEC" w:rsidRPr="00F34BEC" w:rsidRDefault="00F34BEC" w:rsidP="00F34BEC">
            <w:pPr>
              <w:jc w:val="center"/>
              <w:rPr>
                <w:b/>
              </w:rPr>
            </w:pPr>
            <w:r w:rsidRPr="00F34BEC">
              <w:rPr>
                <w:b/>
              </w:rPr>
              <w:t>Pipe Diameter,</w:t>
            </w:r>
            <w:r w:rsidRPr="00F34BEC">
              <w:rPr>
                <w:b/>
              </w:rPr>
              <w:br/>
              <w:t>(inches)</w:t>
            </w:r>
          </w:p>
        </w:tc>
        <w:tc>
          <w:tcPr>
            <w:tcW w:w="0" w:type="auto"/>
            <w:tcBorders>
              <w:top w:val="outset" w:sz="6" w:space="0" w:color="auto"/>
              <w:left w:val="outset" w:sz="6" w:space="0" w:color="auto"/>
              <w:bottom w:val="outset" w:sz="6" w:space="0" w:color="auto"/>
              <w:right w:val="outset" w:sz="6" w:space="0" w:color="auto"/>
            </w:tcBorders>
            <w:vAlign w:val="center"/>
            <w:hideMark/>
          </w:tcPr>
          <w:p w:rsidR="00F34BEC" w:rsidRPr="00F34BEC" w:rsidRDefault="00F34BEC" w:rsidP="00F34BEC">
            <w:pPr>
              <w:jc w:val="center"/>
              <w:rPr>
                <w:b/>
              </w:rPr>
            </w:pPr>
            <w:r w:rsidRPr="00F34BEC">
              <w:rPr>
                <w:b/>
              </w:rPr>
              <w:t>Flow Required to Produce Velocity of Approx. 2.5 ft/s in Main</w:t>
            </w:r>
            <w:r w:rsidRPr="00F34BEC">
              <w:rPr>
                <w:b/>
              </w:rPr>
              <w:br/>
              <w:t>(</w:t>
            </w:r>
            <w:proofErr w:type="spellStart"/>
            <w:r w:rsidRPr="00F34BEC">
              <w:rPr>
                <w:b/>
              </w:rPr>
              <w:t>gpm</w:t>
            </w:r>
            <w:proofErr w:type="spellEnd"/>
            <w:r w:rsidRPr="00F34BEC">
              <w:rPr>
                <w:b/>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F34BEC" w:rsidRPr="00F34BEC" w:rsidRDefault="00F34BEC" w:rsidP="00F34BEC">
            <w:pPr>
              <w:jc w:val="center"/>
              <w:rPr>
                <w:b/>
              </w:rPr>
            </w:pPr>
            <w:r w:rsidRPr="00F34BEC">
              <w:rPr>
                <w:b/>
              </w:rPr>
              <w:t>Number 2.5 inch (65mm) Hydrant Outlets</w:t>
            </w:r>
          </w:p>
        </w:tc>
      </w:tr>
      <w:tr w:rsidR="00F34BEC" w:rsidRPr="00F34BEC" w:rsidTr="00F34BEC">
        <w:trPr>
          <w:trHeight w:val="351"/>
          <w:tblCellSpacing w:w="15" w:type="dxa"/>
          <w:jc w:val="center"/>
        </w:trPr>
        <w:tc>
          <w:tcPr>
            <w:tcW w:w="2139" w:type="dxa"/>
            <w:tcBorders>
              <w:top w:val="outset" w:sz="6" w:space="0" w:color="auto"/>
              <w:left w:val="outset" w:sz="6" w:space="0" w:color="auto"/>
              <w:bottom w:val="outset" w:sz="6" w:space="0" w:color="auto"/>
              <w:right w:val="outset" w:sz="6" w:space="0" w:color="auto"/>
            </w:tcBorders>
            <w:vAlign w:val="center"/>
            <w:hideMark/>
          </w:tcPr>
          <w:p w:rsidR="00F34BEC" w:rsidRPr="00F34BEC" w:rsidRDefault="00F34BEC" w:rsidP="00F34BEC">
            <w:pPr>
              <w:jc w:val="center"/>
            </w:pPr>
            <w:r w:rsidRPr="00F34BEC">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F34BEC" w:rsidRPr="00F34BEC" w:rsidRDefault="00F34BEC" w:rsidP="00F34BEC">
            <w:pPr>
              <w:jc w:val="center"/>
            </w:pPr>
            <w:r w:rsidRPr="00F34BEC">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F34BEC" w:rsidRPr="00F34BEC" w:rsidRDefault="00F34BEC" w:rsidP="00F34BEC">
            <w:pPr>
              <w:jc w:val="center"/>
            </w:pPr>
            <w:r w:rsidRPr="00F34BEC">
              <w:t>1</w:t>
            </w:r>
          </w:p>
        </w:tc>
      </w:tr>
      <w:tr w:rsidR="00F34BEC" w:rsidRPr="00F34BEC" w:rsidTr="00F34BEC">
        <w:trPr>
          <w:tblCellSpacing w:w="15" w:type="dxa"/>
          <w:jc w:val="center"/>
        </w:trPr>
        <w:tc>
          <w:tcPr>
            <w:tcW w:w="2139" w:type="dxa"/>
            <w:tcBorders>
              <w:top w:val="outset" w:sz="6" w:space="0" w:color="auto"/>
              <w:left w:val="outset" w:sz="6" w:space="0" w:color="auto"/>
              <w:bottom w:val="outset" w:sz="6" w:space="0" w:color="auto"/>
              <w:right w:val="outset" w:sz="6" w:space="0" w:color="auto"/>
            </w:tcBorders>
            <w:vAlign w:val="center"/>
            <w:hideMark/>
          </w:tcPr>
          <w:p w:rsidR="00F34BEC" w:rsidRPr="00F34BEC" w:rsidRDefault="00F34BEC" w:rsidP="00F34BEC">
            <w:pPr>
              <w:jc w:val="center"/>
            </w:pPr>
            <w:r w:rsidRPr="00F34BEC">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F34BEC" w:rsidRPr="00F34BEC" w:rsidRDefault="00F34BEC" w:rsidP="00F34BEC">
            <w:pPr>
              <w:jc w:val="center"/>
            </w:pPr>
            <w:r w:rsidRPr="00F34BEC">
              <w:t>200</w:t>
            </w:r>
          </w:p>
        </w:tc>
        <w:tc>
          <w:tcPr>
            <w:tcW w:w="0" w:type="auto"/>
            <w:tcBorders>
              <w:top w:val="outset" w:sz="6" w:space="0" w:color="auto"/>
              <w:left w:val="outset" w:sz="6" w:space="0" w:color="auto"/>
              <w:bottom w:val="outset" w:sz="6" w:space="0" w:color="auto"/>
              <w:right w:val="outset" w:sz="6" w:space="0" w:color="auto"/>
            </w:tcBorders>
            <w:vAlign w:val="center"/>
            <w:hideMark/>
          </w:tcPr>
          <w:p w:rsidR="00F34BEC" w:rsidRPr="00F34BEC" w:rsidRDefault="00F34BEC" w:rsidP="00F34BEC">
            <w:pPr>
              <w:jc w:val="center"/>
            </w:pPr>
            <w:r w:rsidRPr="00F34BEC">
              <w:t>1</w:t>
            </w:r>
          </w:p>
        </w:tc>
      </w:tr>
      <w:tr w:rsidR="00F34BEC" w:rsidRPr="00F34BEC" w:rsidTr="00F34BEC">
        <w:trPr>
          <w:tblCellSpacing w:w="15" w:type="dxa"/>
          <w:jc w:val="center"/>
        </w:trPr>
        <w:tc>
          <w:tcPr>
            <w:tcW w:w="2139" w:type="dxa"/>
            <w:tcBorders>
              <w:top w:val="outset" w:sz="6" w:space="0" w:color="auto"/>
              <w:left w:val="outset" w:sz="6" w:space="0" w:color="auto"/>
              <w:bottom w:val="outset" w:sz="6" w:space="0" w:color="auto"/>
              <w:right w:val="outset" w:sz="6" w:space="0" w:color="auto"/>
            </w:tcBorders>
            <w:vAlign w:val="center"/>
            <w:hideMark/>
          </w:tcPr>
          <w:p w:rsidR="00F34BEC" w:rsidRPr="00F34BEC" w:rsidRDefault="00F34BEC" w:rsidP="00F34BEC">
            <w:pPr>
              <w:jc w:val="center"/>
            </w:pPr>
            <w:r w:rsidRPr="00F34BEC">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F34BEC" w:rsidRPr="00F34BEC" w:rsidRDefault="00F34BEC" w:rsidP="00F34BEC">
            <w:pPr>
              <w:jc w:val="center"/>
            </w:pPr>
            <w:r w:rsidRPr="00F34BEC">
              <w:t>400</w:t>
            </w:r>
          </w:p>
        </w:tc>
        <w:tc>
          <w:tcPr>
            <w:tcW w:w="0" w:type="auto"/>
            <w:tcBorders>
              <w:top w:val="outset" w:sz="6" w:space="0" w:color="auto"/>
              <w:left w:val="outset" w:sz="6" w:space="0" w:color="auto"/>
              <w:bottom w:val="outset" w:sz="6" w:space="0" w:color="auto"/>
              <w:right w:val="outset" w:sz="6" w:space="0" w:color="auto"/>
            </w:tcBorders>
            <w:vAlign w:val="center"/>
            <w:hideMark/>
          </w:tcPr>
          <w:p w:rsidR="00F34BEC" w:rsidRPr="00F34BEC" w:rsidRDefault="00F34BEC" w:rsidP="00F34BEC">
            <w:pPr>
              <w:jc w:val="center"/>
            </w:pPr>
            <w:r w:rsidRPr="00F34BEC">
              <w:t>1</w:t>
            </w:r>
          </w:p>
        </w:tc>
      </w:tr>
      <w:tr w:rsidR="00F34BEC" w:rsidRPr="00F34BEC" w:rsidTr="00F34BEC">
        <w:trPr>
          <w:tblCellSpacing w:w="15" w:type="dxa"/>
          <w:jc w:val="center"/>
        </w:trPr>
        <w:tc>
          <w:tcPr>
            <w:tcW w:w="2139" w:type="dxa"/>
            <w:tcBorders>
              <w:top w:val="outset" w:sz="6" w:space="0" w:color="auto"/>
              <w:left w:val="outset" w:sz="6" w:space="0" w:color="auto"/>
              <w:bottom w:val="outset" w:sz="6" w:space="0" w:color="auto"/>
              <w:right w:val="outset" w:sz="6" w:space="0" w:color="auto"/>
            </w:tcBorders>
            <w:vAlign w:val="center"/>
            <w:hideMark/>
          </w:tcPr>
          <w:p w:rsidR="00F34BEC" w:rsidRPr="00F34BEC" w:rsidRDefault="00F34BEC" w:rsidP="00F34BEC">
            <w:pPr>
              <w:jc w:val="center"/>
            </w:pPr>
            <w:r w:rsidRPr="00F34BEC">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F34BEC" w:rsidRPr="00F34BEC" w:rsidRDefault="00F34BEC" w:rsidP="00F34BEC">
            <w:pPr>
              <w:jc w:val="center"/>
            </w:pPr>
            <w:r w:rsidRPr="00F34BEC">
              <w:t>600</w:t>
            </w:r>
          </w:p>
        </w:tc>
        <w:tc>
          <w:tcPr>
            <w:tcW w:w="0" w:type="auto"/>
            <w:tcBorders>
              <w:top w:val="outset" w:sz="6" w:space="0" w:color="auto"/>
              <w:left w:val="outset" w:sz="6" w:space="0" w:color="auto"/>
              <w:bottom w:val="outset" w:sz="6" w:space="0" w:color="auto"/>
              <w:right w:val="outset" w:sz="6" w:space="0" w:color="auto"/>
            </w:tcBorders>
            <w:vAlign w:val="center"/>
            <w:hideMark/>
          </w:tcPr>
          <w:p w:rsidR="00F34BEC" w:rsidRPr="00F34BEC" w:rsidRDefault="00F34BEC" w:rsidP="00F34BEC">
            <w:pPr>
              <w:jc w:val="center"/>
            </w:pPr>
            <w:r w:rsidRPr="00F34BEC">
              <w:t>1</w:t>
            </w:r>
          </w:p>
        </w:tc>
      </w:tr>
      <w:tr w:rsidR="00F34BEC" w:rsidRPr="00F34BEC" w:rsidTr="00F34BEC">
        <w:trPr>
          <w:trHeight w:val="360"/>
          <w:tblCellSpacing w:w="15" w:type="dxa"/>
          <w:jc w:val="center"/>
        </w:trPr>
        <w:tc>
          <w:tcPr>
            <w:tcW w:w="2139" w:type="dxa"/>
            <w:tcBorders>
              <w:top w:val="outset" w:sz="6" w:space="0" w:color="auto"/>
              <w:left w:val="outset" w:sz="6" w:space="0" w:color="auto"/>
              <w:bottom w:val="outset" w:sz="6" w:space="0" w:color="auto"/>
              <w:right w:val="outset" w:sz="6" w:space="0" w:color="auto"/>
            </w:tcBorders>
            <w:vAlign w:val="center"/>
            <w:hideMark/>
          </w:tcPr>
          <w:p w:rsidR="00F34BEC" w:rsidRPr="00F34BEC" w:rsidRDefault="00F34BEC" w:rsidP="00F34BEC">
            <w:pPr>
              <w:jc w:val="center"/>
            </w:pPr>
            <w:r w:rsidRPr="00F34BEC">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F34BEC" w:rsidRPr="00F34BEC" w:rsidRDefault="00F34BEC" w:rsidP="00F34BEC">
            <w:pPr>
              <w:jc w:val="center"/>
            </w:pPr>
            <w:r w:rsidRPr="00F34BEC">
              <w:t>900</w:t>
            </w:r>
          </w:p>
        </w:tc>
        <w:tc>
          <w:tcPr>
            <w:tcW w:w="0" w:type="auto"/>
            <w:tcBorders>
              <w:top w:val="outset" w:sz="6" w:space="0" w:color="auto"/>
              <w:left w:val="outset" w:sz="6" w:space="0" w:color="auto"/>
              <w:bottom w:val="outset" w:sz="6" w:space="0" w:color="auto"/>
              <w:right w:val="outset" w:sz="6" w:space="0" w:color="auto"/>
            </w:tcBorders>
            <w:vAlign w:val="center"/>
            <w:hideMark/>
          </w:tcPr>
          <w:p w:rsidR="00F34BEC" w:rsidRPr="00F34BEC" w:rsidRDefault="00F34BEC" w:rsidP="00F34BEC">
            <w:pPr>
              <w:jc w:val="center"/>
            </w:pPr>
            <w:r w:rsidRPr="00F34BEC">
              <w:t>2</w:t>
            </w:r>
          </w:p>
        </w:tc>
      </w:tr>
      <w:tr w:rsidR="00F34BEC" w:rsidRPr="00F34BEC" w:rsidTr="00F34BEC">
        <w:trPr>
          <w:trHeight w:val="378"/>
          <w:tblCellSpacing w:w="15" w:type="dxa"/>
          <w:jc w:val="center"/>
        </w:trPr>
        <w:tc>
          <w:tcPr>
            <w:tcW w:w="2139" w:type="dxa"/>
            <w:tcBorders>
              <w:top w:val="outset" w:sz="6" w:space="0" w:color="auto"/>
              <w:left w:val="outset" w:sz="6" w:space="0" w:color="auto"/>
              <w:bottom w:val="outset" w:sz="6" w:space="0" w:color="auto"/>
              <w:right w:val="outset" w:sz="6" w:space="0" w:color="auto"/>
            </w:tcBorders>
            <w:vAlign w:val="center"/>
            <w:hideMark/>
          </w:tcPr>
          <w:p w:rsidR="00F34BEC" w:rsidRPr="00F34BEC" w:rsidRDefault="00F34BEC" w:rsidP="00F34BEC">
            <w:pPr>
              <w:jc w:val="center"/>
            </w:pPr>
            <w:r w:rsidRPr="00F34BEC">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F34BEC" w:rsidRPr="00F34BEC" w:rsidRDefault="00F34BEC" w:rsidP="00F34BEC">
            <w:pPr>
              <w:jc w:val="center"/>
            </w:pPr>
            <w:r w:rsidRPr="00F34BEC">
              <w:t>1600</w:t>
            </w:r>
          </w:p>
        </w:tc>
        <w:tc>
          <w:tcPr>
            <w:tcW w:w="0" w:type="auto"/>
            <w:tcBorders>
              <w:top w:val="outset" w:sz="6" w:space="0" w:color="auto"/>
              <w:left w:val="outset" w:sz="6" w:space="0" w:color="auto"/>
              <w:bottom w:val="outset" w:sz="6" w:space="0" w:color="auto"/>
              <w:right w:val="outset" w:sz="6" w:space="0" w:color="auto"/>
            </w:tcBorders>
            <w:vAlign w:val="center"/>
            <w:hideMark/>
          </w:tcPr>
          <w:p w:rsidR="00F34BEC" w:rsidRPr="00F34BEC" w:rsidRDefault="00F34BEC" w:rsidP="00F34BEC">
            <w:pPr>
              <w:jc w:val="center"/>
            </w:pPr>
            <w:r w:rsidRPr="00F34BEC">
              <w:t>2</w:t>
            </w:r>
          </w:p>
        </w:tc>
      </w:tr>
    </w:tbl>
    <w:p w:rsidR="00F34BEC" w:rsidRDefault="00F34BEC" w:rsidP="00AE0E79"/>
    <w:p w:rsidR="003B5D3F" w:rsidRDefault="00690F1A" w:rsidP="00AE0E79">
      <w:r>
        <w:t xml:space="preserve">In general, all Private Fire Hydrants are required to be painted solid </w:t>
      </w:r>
      <w:r w:rsidR="001A75EE">
        <w:t>RED, or</w:t>
      </w:r>
      <w:r w:rsidR="0003558B">
        <w:t xml:space="preserve"> a color that distinguishes them from a Public hydrant. OSHA requires that water sources that are non-potable be painted VIOLET</w:t>
      </w:r>
    </w:p>
    <w:p w:rsidR="003B5D3F" w:rsidRDefault="003B5D3F" w:rsidP="00900DDE">
      <w:pPr>
        <w:spacing w:after="0"/>
        <w:rPr>
          <w:b/>
        </w:rPr>
      </w:pPr>
    </w:p>
    <w:p w:rsidR="00690F1A" w:rsidRPr="00780697" w:rsidRDefault="0003558B" w:rsidP="00900DDE">
      <w:pPr>
        <w:spacing w:after="0"/>
        <w:rPr>
          <w:b/>
        </w:rPr>
      </w:pPr>
      <w:r w:rsidRPr="00780697">
        <w:rPr>
          <w:b/>
        </w:rPr>
        <w:t>Body Colors</w:t>
      </w:r>
    </w:p>
    <w:tbl>
      <w:tblPr>
        <w:tblW w:w="9000" w:type="dxa"/>
        <w:jc w:val="center"/>
        <w:tblCellSpacing w:w="15" w:type="dxa"/>
        <w:tblBorders>
          <w:top w:val="outset" w:sz="48" w:space="0" w:color="auto"/>
          <w:left w:val="outset" w:sz="48" w:space="0" w:color="auto"/>
          <w:bottom w:val="outset" w:sz="48" w:space="0" w:color="auto"/>
          <w:right w:val="outset" w:sz="48" w:space="0" w:color="auto"/>
        </w:tblBorders>
        <w:tblCellMar>
          <w:top w:w="30" w:type="dxa"/>
          <w:left w:w="30" w:type="dxa"/>
          <w:bottom w:w="30" w:type="dxa"/>
          <w:right w:w="30" w:type="dxa"/>
        </w:tblCellMar>
        <w:tblLook w:val="04A0"/>
      </w:tblPr>
      <w:tblGrid>
        <w:gridCol w:w="1533"/>
        <w:gridCol w:w="3413"/>
        <w:gridCol w:w="4054"/>
      </w:tblGrid>
      <w:tr w:rsidR="0003558B" w:rsidRPr="0003558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3558B" w:rsidRPr="0003558B" w:rsidRDefault="0003558B" w:rsidP="0003558B">
            <w:pPr>
              <w:rPr>
                <w:b/>
              </w:rPr>
            </w:pPr>
            <w:r w:rsidRPr="0003558B">
              <w:rPr>
                <w:b/>
              </w:rPr>
              <w:t>WHITE</w:t>
            </w:r>
          </w:p>
        </w:tc>
        <w:tc>
          <w:tcPr>
            <w:tcW w:w="0" w:type="auto"/>
            <w:tcBorders>
              <w:top w:val="outset" w:sz="6" w:space="0" w:color="auto"/>
              <w:left w:val="outset" w:sz="6" w:space="0" w:color="auto"/>
              <w:bottom w:val="outset" w:sz="6" w:space="0" w:color="auto"/>
              <w:right w:val="outset" w:sz="6" w:space="0" w:color="auto"/>
            </w:tcBorders>
            <w:vAlign w:val="center"/>
            <w:hideMark/>
          </w:tcPr>
          <w:p w:rsidR="0003558B" w:rsidRPr="0003558B" w:rsidRDefault="0003558B" w:rsidP="0003558B">
            <w:r w:rsidRPr="0003558B">
              <w:t>Public System Hydrant</w:t>
            </w:r>
          </w:p>
        </w:tc>
        <w:tc>
          <w:tcPr>
            <w:tcW w:w="0" w:type="auto"/>
            <w:tcBorders>
              <w:top w:val="outset" w:sz="6" w:space="0" w:color="auto"/>
              <w:left w:val="outset" w:sz="6" w:space="0" w:color="auto"/>
              <w:bottom w:val="outset" w:sz="6" w:space="0" w:color="auto"/>
              <w:right w:val="outset" w:sz="6" w:space="0" w:color="auto"/>
            </w:tcBorders>
            <w:vAlign w:val="center"/>
            <w:hideMark/>
          </w:tcPr>
          <w:p w:rsidR="0003558B" w:rsidRPr="0003558B" w:rsidRDefault="0003558B" w:rsidP="0003558B"/>
        </w:tc>
      </w:tr>
      <w:tr w:rsidR="0003558B" w:rsidRPr="0003558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3558B" w:rsidRPr="0003558B" w:rsidRDefault="0003558B" w:rsidP="0003558B">
            <w:pPr>
              <w:rPr>
                <w:b/>
                <w:color w:val="FFFF00"/>
              </w:rPr>
            </w:pPr>
            <w:r w:rsidRPr="0003558B">
              <w:rPr>
                <w:b/>
                <w:bCs/>
                <w:color w:val="FFFF00"/>
                <w:highlight w:val="lightGray"/>
              </w:rPr>
              <w:t>YELLOW</w:t>
            </w:r>
          </w:p>
        </w:tc>
        <w:tc>
          <w:tcPr>
            <w:tcW w:w="0" w:type="auto"/>
            <w:tcBorders>
              <w:top w:val="outset" w:sz="6" w:space="0" w:color="auto"/>
              <w:left w:val="outset" w:sz="6" w:space="0" w:color="auto"/>
              <w:bottom w:val="outset" w:sz="6" w:space="0" w:color="auto"/>
              <w:right w:val="outset" w:sz="6" w:space="0" w:color="auto"/>
            </w:tcBorders>
            <w:vAlign w:val="center"/>
            <w:hideMark/>
          </w:tcPr>
          <w:p w:rsidR="0003558B" w:rsidRPr="0003558B" w:rsidRDefault="0003558B" w:rsidP="0003558B">
            <w:r w:rsidRPr="0003558B">
              <w:t>Private System Hydrant</w:t>
            </w:r>
          </w:p>
        </w:tc>
        <w:tc>
          <w:tcPr>
            <w:tcW w:w="0" w:type="auto"/>
            <w:tcBorders>
              <w:top w:val="outset" w:sz="6" w:space="0" w:color="auto"/>
              <w:left w:val="outset" w:sz="6" w:space="0" w:color="auto"/>
              <w:bottom w:val="outset" w:sz="6" w:space="0" w:color="auto"/>
              <w:right w:val="outset" w:sz="6" w:space="0" w:color="auto"/>
            </w:tcBorders>
            <w:vAlign w:val="center"/>
            <w:hideMark/>
          </w:tcPr>
          <w:p w:rsidR="0003558B" w:rsidRPr="0003558B" w:rsidRDefault="0003558B" w:rsidP="0003558B">
            <w:r w:rsidRPr="0003558B">
              <w:t>Connected to public water main</w:t>
            </w:r>
          </w:p>
        </w:tc>
      </w:tr>
      <w:tr w:rsidR="0003558B" w:rsidRPr="0003558B" w:rsidTr="00780697">
        <w:trPr>
          <w:trHeight w:val="417"/>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3558B" w:rsidRPr="0003558B" w:rsidRDefault="0003558B" w:rsidP="0003558B">
            <w:pPr>
              <w:rPr>
                <w:b/>
                <w:color w:val="FF0000"/>
              </w:rPr>
            </w:pPr>
            <w:r w:rsidRPr="0003558B">
              <w:rPr>
                <w:b/>
                <w:color w:val="FF0000"/>
              </w:rPr>
              <w:t>RED</w:t>
            </w:r>
          </w:p>
        </w:tc>
        <w:tc>
          <w:tcPr>
            <w:tcW w:w="0" w:type="auto"/>
            <w:tcBorders>
              <w:top w:val="outset" w:sz="6" w:space="0" w:color="auto"/>
              <w:left w:val="outset" w:sz="6" w:space="0" w:color="auto"/>
              <w:bottom w:val="outset" w:sz="6" w:space="0" w:color="auto"/>
              <w:right w:val="outset" w:sz="6" w:space="0" w:color="auto"/>
            </w:tcBorders>
            <w:vAlign w:val="center"/>
            <w:hideMark/>
          </w:tcPr>
          <w:p w:rsidR="0003558B" w:rsidRPr="0003558B" w:rsidRDefault="0003558B" w:rsidP="0003558B">
            <w:r w:rsidRPr="0003558B">
              <w:t>Special Operation Hydrant</w:t>
            </w:r>
          </w:p>
        </w:tc>
        <w:tc>
          <w:tcPr>
            <w:tcW w:w="0" w:type="auto"/>
            <w:tcBorders>
              <w:top w:val="outset" w:sz="6" w:space="0" w:color="auto"/>
              <w:left w:val="outset" w:sz="6" w:space="0" w:color="auto"/>
              <w:bottom w:val="outset" w:sz="6" w:space="0" w:color="auto"/>
              <w:right w:val="outset" w:sz="6" w:space="0" w:color="auto"/>
            </w:tcBorders>
            <w:vAlign w:val="center"/>
            <w:hideMark/>
          </w:tcPr>
          <w:p w:rsidR="0003558B" w:rsidRPr="0003558B" w:rsidRDefault="0003558B" w:rsidP="0003558B"/>
        </w:tc>
      </w:tr>
      <w:tr w:rsidR="0003558B" w:rsidRPr="0003558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3558B" w:rsidRPr="0003558B" w:rsidRDefault="0003558B" w:rsidP="0003558B">
            <w:pPr>
              <w:rPr>
                <w:b/>
                <w:color w:val="7030A0"/>
              </w:rPr>
            </w:pPr>
            <w:r w:rsidRPr="0003558B">
              <w:rPr>
                <w:b/>
                <w:color w:val="7030A0"/>
              </w:rPr>
              <w:t>VIOLET</w:t>
            </w:r>
          </w:p>
        </w:tc>
        <w:tc>
          <w:tcPr>
            <w:tcW w:w="0" w:type="auto"/>
            <w:tcBorders>
              <w:top w:val="outset" w:sz="6" w:space="0" w:color="auto"/>
              <w:left w:val="outset" w:sz="6" w:space="0" w:color="auto"/>
              <w:bottom w:val="outset" w:sz="6" w:space="0" w:color="auto"/>
              <w:right w:val="outset" w:sz="6" w:space="0" w:color="auto"/>
            </w:tcBorders>
            <w:vAlign w:val="center"/>
            <w:hideMark/>
          </w:tcPr>
          <w:p w:rsidR="0003558B" w:rsidRPr="0003558B" w:rsidRDefault="0003558B" w:rsidP="0003558B">
            <w:r w:rsidRPr="0003558B">
              <w:t>Non Potable Supply</w:t>
            </w:r>
          </w:p>
        </w:tc>
        <w:tc>
          <w:tcPr>
            <w:tcW w:w="0" w:type="auto"/>
            <w:tcBorders>
              <w:top w:val="outset" w:sz="6" w:space="0" w:color="auto"/>
              <w:left w:val="outset" w:sz="6" w:space="0" w:color="auto"/>
              <w:bottom w:val="outset" w:sz="6" w:space="0" w:color="auto"/>
              <w:right w:val="outset" w:sz="6" w:space="0" w:color="auto"/>
            </w:tcBorders>
            <w:vAlign w:val="center"/>
            <w:hideMark/>
          </w:tcPr>
          <w:p w:rsidR="0003558B" w:rsidRPr="0003558B" w:rsidRDefault="0003558B" w:rsidP="0003558B">
            <w:proofErr w:type="spellStart"/>
            <w:r w:rsidRPr="0003558B">
              <w:t>Effuent</w:t>
            </w:r>
            <w:proofErr w:type="spellEnd"/>
            <w:r w:rsidRPr="0003558B">
              <w:t>, pond or lake supply</w:t>
            </w:r>
          </w:p>
        </w:tc>
      </w:tr>
    </w:tbl>
    <w:p w:rsidR="0003558B" w:rsidRDefault="0003558B" w:rsidP="00900DDE">
      <w:pPr>
        <w:spacing w:after="0"/>
      </w:pPr>
    </w:p>
    <w:p w:rsidR="007F33A3" w:rsidRDefault="007F33A3" w:rsidP="00AE0E79">
      <w:r>
        <w:t xml:space="preserve">Some </w:t>
      </w:r>
      <w:r w:rsidR="00C61BEE">
        <w:t>Cities</w:t>
      </w:r>
      <w:r>
        <w:t xml:space="preserve"> have …</w:t>
      </w:r>
    </w:p>
    <w:p w:rsidR="003B5D3F" w:rsidRDefault="003B5D3F" w:rsidP="00AE0E79">
      <w:pPr>
        <w:rPr>
          <w:b/>
        </w:rPr>
      </w:pPr>
    </w:p>
    <w:p w:rsidR="007F33A3" w:rsidRPr="007F33A3" w:rsidRDefault="007F33A3" w:rsidP="00AE0E79">
      <w:pPr>
        <w:rPr>
          <w:b/>
        </w:rPr>
      </w:pPr>
      <w:r w:rsidRPr="007F33A3">
        <w:rPr>
          <w:b/>
        </w:rPr>
        <w:lastRenderedPageBreak/>
        <w:t xml:space="preserve">Body Colors: </w:t>
      </w:r>
    </w:p>
    <w:tbl>
      <w:tblPr>
        <w:tblW w:w="9000" w:type="dxa"/>
        <w:jc w:val="center"/>
        <w:tblCellSpacing w:w="15" w:type="dxa"/>
        <w:tblBorders>
          <w:top w:val="outset" w:sz="48" w:space="0" w:color="auto"/>
          <w:left w:val="outset" w:sz="48" w:space="0" w:color="auto"/>
          <w:bottom w:val="outset" w:sz="48" w:space="0" w:color="auto"/>
          <w:right w:val="outset" w:sz="48" w:space="0" w:color="auto"/>
        </w:tblBorders>
        <w:tblCellMar>
          <w:top w:w="30" w:type="dxa"/>
          <w:left w:w="30" w:type="dxa"/>
          <w:bottom w:w="30" w:type="dxa"/>
          <w:right w:w="30" w:type="dxa"/>
        </w:tblCellMar>
        <w:tblLook w:val="04A0"/>
      </w:tblPr>
      <w:tblGrid>
        <w:gridCol w:w="3218"/>
        <w:gridCol w:w="3149"/>
        <w:gridCol w:w="2633"/>
      </w:tblGrid>
      <w:tr w:rsidR="007F33A3" w:rsidRPr="0003558B" w:rsidTr="00B402D3">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F33A3" w:rsidRPr="0003558B" w:rsidRDefault="007F33A3" w:rsidP="00B402D3">
            <w:pPr>
              <w:rPr>
                <w:b/>
              </w:rPr>
            </w:pPr>
            <w:r w:rsidRPr="0003558B">
              <w:rPr>
                <w:b/>
              </w:rPr>
              <w:t>WHITE</w:t>
            </w:r>
          </w:p>
        </w:tc>
        <w:tc>
          <w:tcPr>
            <w:tcW w:w="0" w:type="auto"/>
            <w:tcBorders>
              <w:top w:val="outset" w:sz="6" w:space="0" w:color="auto"/>
              <w:left w:val="outset" w:sz="6" w:space="0" w:color="auto"/>
              <w:bottom w:val="outset" w:sz="6" w:space="0" w:color="auto"/>
              <w:right w:val="outset" w:sz="6" w:space="0" w:color="auto"/>
            </w:tcBorders>
            <w:vAlign w:val="center"/>
            <w:hideMark/>
          </w:tcPr>
          <w:p w:rsidR="007F33A3" w:rsidRPr="0003558B" w:rsidRDefault="007F33A3" w:rsidP="00B402D3">
            <w:r w:rsidRPr="0003558B">
              <w:t>Public System Hydrant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F33A3" w:rsidRPr="0003558B" w:rsidRDefault="007F33A3" w:rsidP="007F33A3">
            <w:r>
              <w:t>4” or Smaller main</w:t>
            </w:r>
          </w:p>
        </w:tc>
      </w:tr>
      <w:tr w:rsidR="007F33A3" w:rsidRPr="0003558B" w:rsidTr="00B402D3">
        <w:trPr>
          <w:trHeight w:val="417"/>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F33A3" w:rsidRPr="0003558B" w:rsidRDefault="007F33A3" w:rsidP="00B402D3">
            <w:pPr>
              <w:rPr>
                <w:b/>
                <w:color w:val="FF0000"/>
              </w:rPr>
            </w:pPr>
            <w:r w:rsidRPr="0003558B">
              <w:rPr>
                <w:b/>
                <w:color w:val="FF0000"/>
              </w:rPr>
              <w:t>RED</w:t>
            </w:r>
          </w:p>
        </w:tc>
        <w:tc>
          <w:tcPr>
            <w:tcW w:w="0" w:type="auto"/>
            <w:tcBorders>
              <w:top w:val="outset" w:sz="6" w:space="0" w:color="auto"/>
              <w:left w:val="outset" w:sz="6" w:space="0" w:color="auto"/>
              <w:bottom w:val="outset" w:sz="6" w:space="0" w:color="auto"/>
              <w:right w:val="outset" w:sz="6" w:space="0" w:color="auto"/>
            </w:tcBorders>
            <w:vAlign w:val="center"/>
            <w:hideMark/>
          </w:tcPr>
          <w:p w:rsidR="007F33A3" w:rsidRPr="0003558B" w:rsidRDefault="007F33A3" w:rsidP="00B402D3">
            <w:r w:rsidRPr="0003558B">
              <w:t>Public System Hydrant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F33A3" w:rsidRPr="0003558B" w:rsidRDefault="007F33A3" w:rsidP="00B402D3">
            <w:r>
              <w:t>6” main</w:t>
            </w:r>
          </w:p>
        </w:tc>
      </w:tr>
      <w:tr w:rsidR="007F33A3" w:rsidRPr="0003558B" w:rsidTr="00B402D3">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F33A3" w:rsidRPr="007F33A3" w:rsidRDefault="007F33A3" w:rsidP="00B402D3">
            <w:pPr>
              <w:rPr>
                <w:b/>
                <w:color w:val="E36C0A" w:themeColor="accent6" w:themeShade="BF"/>
              </w:rPr>
            </w:pPr>
            <w:r w:rsidRPr="007F33A3">
              <w:rPr>
                <w:b/>
                <w:color w:val="E36C0A" w:themeColor="accent6" w:themeShade="BF"/>
              </w:rPr>
              <w:t>ORANGE</w:t>
            </w:r>
            <w:r w:rsidR="006F2C27">
              <w:rPr>
                <w:b/>
                <w:color w:val="E36C0A" w:themeColor="accent6" w:themeShade="BF"/>
              </w:rPr>
              <w:t>//YELLOW</w:t>
            </w:r>
          </w:p>
        </w:tc>
        <w:tc>
          <w:tcPr>
            <w:tcW w:w="0" w:type="auto"/>
            <w:tcBorders>
              <w:top w:val="outset" w:sz="6" w:space="0" w:color="auto"/>
              <w:left w:val="outset" w:sz="6" w:space="0" w:color="auto"/>
              <w:bottom w:val="outset" w:sz="6" w:space="0" w:color="auto"/>
              <w:right w:val="outset" w:sz="6" w:space="0" w:color="auto"/>
            </w:tcBorders>
            <w:vAlign w:val="center"/>
            <w:hideMark/>
          </w:tcPr>
          <w:p w:rsidR="007F33A3" w:rsidRPr="0003558B" w:rsidRDefault="007F33A3" w:rsidP="00B402D3">
            <w:r w:rsidRPr="0003558B">
              <w:t>Public System Hydrant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F33A3" w:rsidRPr="0003558B" w:rsidRDefault="007F33A3" w:rsidP="00B402D3">
            <w:r>
              <w:t>8” and 10” main</w:t>
            </w:r>
          </w:p>
        </w:tc>
      </w:tr>
      <w:tr w:rsidR="007F33A3" w:rsidRPr="0003558B" w:rsidTr="00B402D3">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F33A3" w:rsidRPr="007F33A3" w:rsidRDefault="007F33A3" w:rsidP="00B402D3">
            <w:pPr>
              <w:rPr>
                <w:b/>
                <w:color w:val="00B050"/>
              </w:rPr>
            </w:pPr>
            <w:r w:rsidRPr="007F33A3">
              <w:rPr>
                <w:b/>
                <w:color w:val="00B050"/>
              </w:rPr>
              <w:t>GREEN</w:t>
            </w:r>
          </w:p>
        </w:tc>
        <w:tc>
          <w:tcPr>
            <w:tcW w:w="0" w:type="auto"/>
            <w:tcBorders>
              <w:top w:val="outset" w:sz="6" w:space="0" w:color="auto"/>
              <w:left w:val="outset" w:sz="6" w:space="0" w:color="auto"/>
              <w:bottom w:val="outset" w:sz="6" w:space="0" w:color="auto"/>
              <w:right w:val="outset" w:sz="6" w:space="0" w:color="auto"/>
            </w:tcBorders>
            <w:vAlign w:val="center"/>
            <w:hideMark/>
          </w:tcPr>
          <w:p w:rsidR="007F33A3" w:rsidRPr="0003558B" w:rsidRDefault="007F33A3" w:rsidP="00B402D3">
            <w:r w:rsidRPr="0003558B">
              <w:t>Public System Hydrant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F33A3" w:rsidRPr="0003558B" w:rsidRDefault="007F33A3" w:rsidP="00B402D3">
            <w:r>
              <w:t>12” or larger main</w:t>
            </w:r>
          </w:p>
        </w:tc>
      </w:tr>
    </w:tbl>
    <w:p w:rsidR="007F33A3" w:rsidRDefault="007F33A3" w:rsidP="00AE0E79"/>
    <w:tbl>
      <w:tblPr>
        <w:tblStyle w:val="TableGrid"/>
        <w:tblW w:w="0" w:type="auto"/>
        <w:tblLook w:val="04A0"/>
      </w:tblPr>
      <w:tblGrid>
        <w:gridCol w:w="4788"/>
        <w:gridCol w:w="6228"/>
      </w:tblGrid>
      <w:tr w:rsidR="006F2C27" w:rsidTr="003B1655">
        <w:tc>
          <w:tcPr>
            <w:tcW w:w="4788" w:type="dxa"/>
          </w:tcPr>
          <w:p w:rsidR="006F2C27" w:rsidRDefault="00E75BFD" w:rsidP="006F2C27">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05pt;height:146.3pt">
                  <v:imagedata r:id="rId12" o:title="yellow-green-fire-hydrant-city-23213184"/>
                </v:shape>
              </w:pict>
            </w:r>
          </w:p>
          <w:p w:rsidR="006F2C27" w:rsidRDefault="006F2C27" w:rsidP="006F2C27">
            <w:r>
              <w:t>1000 GPM+ 12 to 18  inch diameter main</w:t>
            </w:r>
          </w:p>
        </w:tc>
        <w:tc>
          <w:tcPr>
            <w:tcW w:w="6228" w:type="dxa"/>
          </w:tcPr>
          <w:p w:rsidR="006F2C27" w:rsidRDefault="00E75BFD" w:rsidP="003B1655">
            <w:pPr>
              <w:jc w:val="right"/>
            </w:pPr>
            <w:r>
              <w:pict>
                <v:shape id="_x0000_i1026" type="#_x0000_t75" style="width:102.65pt;height:146.3pt">
                  <v:imagedata r:id="rId13" o:title="red"/>
                </v:shape>
              </w:pict>
            </w:r>
          </w:p>
          <w:p w:rsidR="006F2C27" w:rsidRDefault="006F2C27" w:rsidP="003B1655">
            <w:pPr>
              <w:jc w:val="right"/>
            </w:pPr>
            <w:r>
              <w:t>Private Service Main, less than 500 GPM. 6” main</w:t>
            </w:r>
          </w:p>
        </w:tc>
      </w:tr>
    </w:tbl>
    <w:p w:rsidR="006F2C27" w:rsidRDefault="006F2C27" w:rsidP="00AE0E79"/>
    <w:p w:rsidR="003B1655" w:rsidRDefault="0003558B" w:rsidP="00AE0E79">
      <w:r w:rsidRPr="0003558B">
        <w:t>In addition to these fire de</w:t>
      </w:r>
      <w:r>
        <w:t>partment applied markings, one may</w:t>
      </w:r>
      <w:r w:rsidRPr="0003558B">
        <w:t xml:space="preserve"> notice Roman numerals and other indicators painted in red. These markings indicate the location of the street shutoff valve which would need to be accessed in order to shut down the hydrant in the event it was knocked off or supply needed to be shut down for repairs.</w:t>
      </w:r>
    </w:p>
    <w:p w:rsidR="003B1655" w:rsidRDefault="003B1655">
      <w:r>
        <w:br w:type="page"/>
      </w:r>
    </w:p>
    <w:p w:rsidR="00F34BEC" w:rsidRDefault="00F34BEC" w:rsidP="00AE0E79"/>
    <w:p w:rsidR="00833D2A" w:rsidRPr="00780697" w:rsidRDefault="00833D2A" w:rsidP="00AE0E79">
      <w:pPr>
        <w:rPr>
          <w:b/>
        </w:rPr>
      </w:pPr>
      <w:r w:rsidRPr="00780697">
        <w:rPr>
          <w:b/>
        </w:rPr>
        <w:t>Regulated Mains</w:t>
      </w:r>
    </w:p>
    <w:p w:rsidR="00135C56" w:rsidRDefault="00833D2A" w:rsidP="00833D2A">
      <w:bookmarkStart w:id="1" w:name="code"/>
      <w:r w:rsidRPr="00833D2A">
        <w:t xml:space="preserve">We also have some neighborhoods in very high pressure areas where the water mains themselves are fed through pressure regulators so that water supplied to domestic users is not so extreme that it could damage water meters and plumbing. In these instances it is of critical importance to shut fire hydrants down slowly in order to prevent damage to water mains and system regulator sets. The orange "R" in a circle is a warning to fire fighters that the hydrant is on a regulator supplied pressure zone. </w:t>
      </w:r>
    </w:p>
    <w:tbl>
      <w:tblPr>
        <w:tblW w:w="9540" w:type="dxa"/>
        <w:jc w:val="center"/>
        <w:tblCellSpacing w:w="15" w:type="dxa"/>
        <w:tblInd w:w="-540" w:type="dxa"/>
        <w:tblBorders>
          <w:top w:val="outset" w:sz="48" w:space="0" w:color="auto"/>
          <w:left w:val="outset" w:sz="48" w:space="0" w:color="auto"/>
          <w:bottom w:val="outset" w:sz="48" w:space="0" w:color="auto"/>
          <w:right w:val="outset" w:sz="48" w:space="0" w:color="auto"/>
        </w:tblBorders>
        <w:tblCellMar>
          <w:top w:w="30" w:type="dxa"/>
          <w:left w:w="30" w:type="dxa"/>
          <w:bottom w:w="30" w:type="dxa"/>
          <w:right w:w="30" w:type="dxa"/>
        </w:tblCellMar>
        <w:tblLook w:val="04A0"/>
      </w:tblPr>
      <w:tblGrid>
        <w:gridCol w:w="3981"/>
        <w:gridCol w:w="581"/>
        <w:gridCol w:w="4978"/>
      </w:tblGrid>
      <w:tr w:rsidR="00833D2A" w:rsidRPr="00833D2A" w:rsidTr="00833D2A">
        <w:trPr>
          <w:tblCellSpacing w:w="15" w:type="dxa"/>
          <w:jc w:val="center"/>
        </w:trPr>
        <w:tc>
          <w:tcPr>
            <w:tcW w:w="3936" w:type="dxa"/>
            <w:tcBorders>
              <w:top w:val="outset" w:sz="6" w:space="0" w:color="auto"/>
              <w:left w:val="outset" w:sz="6" w:space="0" w:color="auto"/>
              <w:bottom w:val="outset" w:sz="6" w:space="0" w:color="auto"/>
              <w:right w:val="outset" w:sz="6" w:space="0" w:color="auto"/>
            </w:tcBorders>
            <w:vAlign w:val="center"/>
            <w:hideMark/>
          </w:tcPr>
          <w:bookmarkEnd w:id="1"/>
          <w:p w:rsidR="00833D2A" w:rsidRPr="00833D2A" w:rsidRDefault="00833D2A" w:rsidP="00833D2A">
            <w:r w:rsidRPr="00833D2A">
              <w:t>Orange Arrow</w:t>
            </w:r>
          </w:p>
        </w:tc>
        <w:tc>
          <w:tcPr>
            <w:tcW w:w="0" w:type="auto"/>
            <w:tcBorders>
              <w:top w:val="outset" w:sz="6" w:space="0" w:color="auto"/>
              <w:left w:val="outset" w:sz="6" w:space="0" w:color="auto"/>
              <w:bottom w:val="outset" w:sz="6" w:space="0" w:color="auto"/>
              <w:right w:val="outset" w:sz="6" w:space="0" w:color="auto"/>
            </w:tcBorders>
            <w:vAlign w:val="center"/>
            <w:hideMark/>
          </w:tcPr>
          <w:p w:rsidR="00833D2A" w:rsidRPr="00833D2A" w:rsidRDefault="00833D2A" w:rsidP="00833D2A">
            <w:pPr>
              <w:rPr>
                <w:b/>
                <w:color w:val="E36C0A" w:themeColor="accent6" w:themeShade="BF"/>
              </w:rPr>
            </w:pPr>
            <w:r w:rsidRPr="00833D2A">
              <w:rPr>
                <w:b/>
                <w:bCs/>
                <w:color w:val="E36C0A" w:themeColor="accent6" w:themeShade="BF"/>
              </w:rPr>
              <w:t>-&gt;</w:t>
            </w:r>
          </w:p>
        </w:tc>
        <w:tc>
          <w:tcPr>
            <w:tcW w:w="0" w:type="auto"/>
            <w:tcBorders>
              <w:top w:val="outset" w:sz="6" w:space="0" w:color="auto"/>
              <w:left w:val="outset" w:sz="6" w:space="0" w:color="auto"/>
              <w:bottom w:val="outset" w:sz="6" w:space="0" w:color="auto"/>
              <w:right w:val="outset" w:sz="6" w:space="0" w:color="auto"/>
            </w:tcBorders>
            <w:vAlign w:val="center"/>
            <w:hideMark/>
          </w:tcPr>
          <w:p w:rsidR="00833D2A" w:rsidRPr="00833D2A" w:rsidRDefault="00833D2A" w:rsidP="00833D2A">
            <w:r w:rsidRPr="00833D2A">
              <w:t>Indicates direction of water flow</w:t>
            </w:r>
            <w:r w:rsidRPr="00833D2A">
              <w:br/>
              <w:t>on a "dead end" main</w:t>
            </w:r>
          </w:p>
        </w:tc>
      </w:tr>
      <w:tr w:rsidR="00833D2A" w:rsidRPr="00833D2A" w:rsidTr="00833D2A">
        <w:trPr>
          <w:tblCellSpacing w:w="15" w:type="dxa"/>
          <w:jc w:val="center"/>
        </w:trPr>
        <w:tc>
          <w:tcPr>
            <w:tcW w:w="3936" w:type="dxa"/>
            <w:tcBorders>
              <w:top w:val="outset" w:sz="6" w:space="0" w:color="auto"/>
              <w:left w:val="outset" w:sz="6" w:space="0" w:color="auto"/>
              <w:bottom w:val="outset" w:sz="6" w:space="0" w:color="auto"/>
              <w:right w:val="outset" w:sz="6" w:space="0" w:color="auto"/>
            </w:tcBorders>
            <w:vAlign w:val="center"/>
            <w:hideMark/>
          </w:tcPr>
          <w:p w:rsidR="00833D2A" w:rsidRPr="00833D2A" w:rsidRDefault="00833D2A" w:rsidP="00833D2A">
            <w:r w:rsidRPr="00833D2A">
              <w:t>Orange Arrow and</w:t>
            </w:r>
            <w:r w:rsidRPr="00833D2A">
              <w:br/>
              <w:t>vertical bar</w:t>
            </w:r>
          </w:p>
        </w:tc>
        <w:tc>
          <w:tcPr>
            <w:tcW w:w="0" w:type="auto"/>
            <w:tcBorders>
              <w:top w:val="outset" w:sz="6" w:space="0" w:color="auto"/>
              <w:left w:val="outset" w:sz="6" w:space="0" w:color="auto"/>
              <w:bottom w:val="outset" w:sz="6" w:space="0" w:color="auto"/>
              <w:right w:val="outset" w:sz="6" w:space="0" w:color="auto"/>
            </w:tcBorders>
            <w:vAlign w:val="center"/>
            <w:hideMark/>
          </w:tcPr>
          <w:p w:rsidR="00833D2A" w:rsidRPr="00833D2A" w:rsidRDefault="00833D2A" w:rsidP="00833D2A">
            <w:pPr>
              <w:rPr>
                <w:b/>
                <w:color w:val="E36C0A" w:themeColor="accent6" w:themeShade="BF"/>
              </w:rPr>
            </w:pPr>
            <w:r w:rsidRPr="00833D2A">
              <w:rPr>
                <w:b/>
                <w:bCs/>
                <w:color w:val="E36C0A" w:themeColor="accent6" w:themeShade="BF"/>
              </w:rPr>
              <w:t>-&gt;|</w:t>
            </w:r>
          </w:p>
        </w:tc>
        <w:tc>
          <w:tcPr>
            <w:tcW w:w="0" w:type="auto"/>
            <w:tcBorders>
              <w:top w:val="outset" w:sz="6" w:space="0" w:color="auto"/>
              <w:left w:val="outset" w:sz="6" w:space="0" w:color="auto"/>
              <w:bottom w:val="outset" w:sz="6" w:space="0" w:color="auto"/>
              <w:right w:val="outset" w:sz="6" w:space="0" w:color="auto"/>
            </w:tcBorders>
            <w:vAlign w:val="center"/>
            <w:hideMark/>
          </w:tcPr>
          <w:p w:rsidR="00833D2A" w:rsidRPr="00833D2A" w:rsidRDefault="00833D2A" w:rsidP="00833D2A">
            <w:r w:rsidRPr="00833D2A">
              <w:t>Indicates last hydrant and</w:t>
            </w:r>
            <w:r w:rsidRPr="00833D2A">
              <w:br/>
              <w:t>direction of water flow</w:t>
            </w:r>
            <w:r w:rsidRPr="00833D2A">
              <w:br/>
              <w:t>on a "dead end" main</w:t>
            </w:r>
          </w:p>
        </w:tc>
      </w:tr>
      <w:tr w:rsidR="00833D2A" w:rsidRPr="00833D2A" w:rsidTr="00833D2A">
        <w:trPr>
          <w:tblCellSpacing w:w="15" w:type="dxa"/>
          <w:jc w:val="center"/>
        </w:trPr>
        <w:tc>
          <w:tcPr>
            <w:tcW w:w="3936" w:type="dxa"/>
            <w:tcBorders>
              <w:top w:val="outset" w:sz="6" w:space="0" w:color="auto"/>
              <w:left w:val="outset" w:sz="6" w:space="0" w:color="auto"/>
              <w:bottom w:val="outset" w:sz="6" w:space="0" w:color="auto"/>
              <w:right w:val="outset" w:sz="6" w:space="0" w:color="auto"/>
            </w:tcBorders>
            <w:vAlign w:val="center"/>
            <w:hideMark/>
          </w:tcPr>
          <w:p w:rsidR="00833D2A" w:rsidRPr="00833D2A" w:rsidRDefault="00833D2A" w:rsidP="00833D2A">
            <w:r w:rsidRPr="00833D2A">
              <w:t>Orange "R" in a circle</w:t>
            </w:r>
          </w:p>
        </w:tc>
        <w:tc>
          <w:tcPr>
            <w:tcW w:w="0" w:type="auto"/>
            <w:tcBorders>
              <w:top w:val="outset" w:sz="6" w:space="0" w:color="auto"/>
              <w:left w:val="outset" w:sz="6" w:space="0" w:color="auto"/>
              <w:bottom w:val="outset" w:sz="6" w:space="0" w:color="auto"/>
              <w:right w:val="outset" w:sz="6" w:space="0" w:color="auto"/>
            </w:tcBorders>
            <w:vAlign w:val="center"/>
            <w:hideMark/>
          </w:tcPr>
          <w:p w:rsidR="00833D2A" w:rsidRPr="00833D2A" w:rsidRDefault="00833D2A" w:rsidP="00833D2A">
            <w:pPr>
              <w:rPr>
                <w:b/>
                <w:color w:val="E36C0A" w:themeColor="accent6" w:themeShade="BF"/>
              </w:rPr>
            </w:pPr>
            <w:r w:rsidRPr="00833D2A">
              <w:rPr>
                <w:b/>
                <w:bCs/>
                <w:color w:val="E36C0A" w:themeColor="accent6" w:themeShade="B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833D2A" w:rsidRPr="00833D2A" w:rsidRDefault="00833D2A" w:rsidP="00833D2A">
            <w:r w:rsidRPr="00833D2A">
              <w:t>Indicates hydrant is on a</w:t>
            </w:r>
            <w:r w:rsidRPr="00833D2A">
              <w:br/>
              <w:t>regulated pressure zone</w:t>
            </w:r>
          </w:p>
        </w:tc>
      </w:tr>
    </w:tbl>
    <w:p w:rsidR="00833D2A" w:rsidRPr="00AE0E79" w:rsidRDefault="00833D2A" w:rsidP="00AE0E79"/>
    <w:sectPr w:rsidR="00833D2A" w:rsidRPr="00AE0E79" w:rsidSect="0045742B">
      <w:headerReference w:type="even" r:id="rId14"/>
      <w:headerReference w:type="default" r:id="rId15"/>
      <w:footerReference w:type="even" r:id="rId16"/>
      <w:footerReference w:type="default" r:id="rId17"/>
      <w:headerReference w:type="first" r:id="rId18"/>
      <w:footerReference w:type="first" r:id="rId19"/>
      <w:pgSz w:w="12240" w:h="15840"/>
      <w:pgMar w:top="720" w:right="720" w:bottom="720" w:left="720" w:header="720" w:footer="720" w:gutter="0"/>
      <w:pgBorders w:offsetFrom="page">
        <w:top w:val="thinThickSmallGap" w:sz="12" w:space="24" w:color="auto" w:shadow="1"/>
        <w:left w:val="thinThickSmallGap" w:sz="12" w:space="24" w:color="auto" w:shadow="1"/>
        <w:bottom w:val="thinThickSmallGap" w:sz="12" w:space="24" w:color="auto" w:shadow="1"/>
        <w:right w:val="thinThickSmallGap" w:sz="12" w:space="24" w:color="auto" w:shadow="1"/>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60DE" w:rsidRDefault="000F60DE" w:rsidP="003B4BC3">
      <w:pPr>
        <w:spacing w:after="0" w:line="240" w:lineRule="auto"/>
      </w:pPr>
      <w:r>
        <w:separator/>
      </w:r>
    </w:p>
  </w:endnote>
  <w:endnote w:type="continuationSeparator" w:id="0">
    <w:p w:rsidR="000F60DE" w:rsidRDefault="000F60DE" w:rsidP="003B4B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DDE" w:rsidRDefault="00900DD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21"/>
      <w:gridCol w:w="3662"/>
      <w:gridCol w:w="3633"/>
    </w:tblGrid>
    <w:tr w:rsidR="000F60DE" w:rsidRPr="00C401B0" w:rsidTr="00EC6156">
      <w:trPr>
        <w:trHeight w:val="84"/>
      </w:trPr>
      <w:tc>
        <w:tcPr>
          <w:tcW w:w="1689" w:type="pct"/>
          <w:vAlign w:val="bottom"/>
        </w:tcPr>
        <w:p w:rsidR="000F60DE" w:rsidRPr="00C401B0" w:rsidRDefault="003F6D2B" w:rsidP="000F60DE">
          <w:pPr>
            <w:pStyle w:val="Footer"/>
            <w:rPr>
              <w:b/>
              <w:sz w:val="12"/>
              <w:szCs w:val="12"/>
            </w:rPr>
          </w:pPr>
          <w:r w:rsidRPr="003F6D2B">
            <w:rPr>
              <w:noProof/>
              <w:sz w:val="12"/>
              <w:szCs w:val="12"/>
            </w:rPr>
            <w:pict>
              <v:shapetype id="_x0000_t32" coordsize="21600,21600" o:spt="32" o:oned="t" path="m,l21600,21600e" filled="f">
                <v:path arrowok="t" fillok="f" o:connecttype="none"/>
                <o:lock v:ext="edit" shapetype="t"/>
              </v:shapetype>
              <v:shape id="_x0000_s2053" type="#_x0000_t32" style="position:absolute;margin-left:-2.75pt;margin-top:-.35pt;width:546.95pt;height:.05pt;z-index:251662336" o:connectortype="straight"/>
            </w:pict>
          </w:r>
          <w:fldSimple w:instr=" AUTHOR  \* FirstCap  \* MERGEFORMAT ">
            <w:r w:rsidR="000F60DE" w:rsidRPr="00C401B0">
              <w:rPr>
                <w:b/>
                <w:noProof/>
                <w:sz w:val="12"/>
                <w:szCs w:val="12"/>
              </w:rPr>
              <w:t>Arun</w:t>
            </w:r>
          </w:fldSimple>
          <w:r w:rsidR="000F60DE" w:rsidRPr="00C401B0">
            <w:rPr>
              <w:b/>
              <w:sz w:val="12"/>
              <w:szCs w:val="12"/>
            </w:rPr>
            <w:t xml:space="preserve"> </w:t>
          </w:r>
        </w:p>
      </w:tc>
      <w:tc>
        <w:tcPr>
          <w:tcW w:w="1662" w:type="pct"/>
          <w:vAlign w:val="bottom"/>
        </w:tcPr>
        <w:p w:rsidR="000F60DE" w:rsidRPr="00C401B0" w:rsidRDefault="000F60DE" w:rsidP="000F60DE">
          <w:pPr>
            <w:pStyle w:val="Footer"/>
            <w:jc w:val="center"/>
            <w:rPr>
              <w:rFonts w:eastAsiaTheme="minorEastAsia"/>
              <w:bCs/>
              <w:noProof/>
              <w:sz w:val="12"/>
              <w:szCs w:val="12"/>
            </w:rPr>
          </w:pPr>
          <w:r w:rsidRPr="00C401B0">
            <w:rPr>
              <w:rFonts w:eastAsiaTheme="minorEastAsia"/>
              <w:noProof/>
              <w:sz w:val="12"/>
              <w:szCs w:val="12"/>
            </w:rPr>
            <w:t xml:space="preserve">Issued:: </w:t>
          </w:r>
          <w:r w:rsidR="003F6D2B" w:rsidRPr="00C401B0">
            <w:rPr>
              <w:rFonts w:eastAsiaTheme="minorEastAsia"/>
              <w:noProof/>
              <w:sz w:val="12"/>
              <w:szCs w:val="12"/>
            </w:rPr>
            <w:fldChar w:fldCharType="begin"/>
          </w:r>
          <w:r w:rsidRPr="00C401B0">
            <w:rPr>
              <w:rFonts w:eastAsiaTheme="minorEastAsia"/>
              <w:noProof/>
              <w:sz w:val="12"/>
              <w:szCs w:val="12"/>
            </w:rPr>
            <w:instrText xml:space="preserve"> DATE  \@ "yyyy-MM-dd"  \* MERGEFORMAT </w:instrText>
          </w:r>
          <w:r w:rsidR="003F6D2B" w:rsidRPr="00C401B0">
            <w:rPr>
              <w:rFonts w:eastAsiaTheme="minorEastAsia"/>
              <w:noProof/>
              <w:sz w:val="12"/>
              <w:szCs w:val="12"/>
            </w:rPr>
            <w:fldChar w:fldCharType="separate"/>
          </w:r>
          <w:r w:rsidR="00E75BFD">
            <w:rPr>
              <w:rFonts w:eastAsiaTheme="minorEastAsia"/>
              <w:noProof/>
              <w:sz w:val="12"/>
              <w:szCs w:val="12"/>
            </w:rPr>
            <w:t>2017-09-28</w:t>
          </w:r>
          <w:r w:rsidR="003F6D2B" w:rsidRPr="00C401B0">
            <w:rPr>
              <w:rFonts w:eastAsiaTheme="minorEastAsia"/>
              <w:noProof/>
              <w:sz w:val="12"/>
              <w:szCs w:val="12"/>
            </w:rPr>
            <w:fldChar w:fldCharType="end"/>
          </w:r>
        </w:p>
      </w:tc>
      <w:tc>
        <w:tcPr>
          <w:tcW w:w="1649" w:type="pct"/>
          <w:vAlign w:val="bottom"/>
        </w:tcPr>
        <w:p w:rsidR="000F60DE" w:rsidRPr="00C401B0" w:rsidRDefault="000F60DE" w:rsidP="000F60DE">
          <w:pPr>
            <w:pStyle w:val="Footer"/>
            <w:jc w:val="right"/>
            <w:rPr>
              <w:rFonts w:eastAsiaTheme="minorEastAsia"/>
              <w:bCs/>
              <w:noProof/>
              <w:sz w:val="12"/>
              <w:szCs w:val="12"/>
            </w:rPr>
          </w:pPr>
        </w:p>
      </w:tc>
    </w:tr>
    <w:tr w:rsidR="000F60DE" w:rsidRPr="00C401B0" w:rsidTr="00EC6156">
      <w:tc>
        <w:tcPr>
          <w:tcW w:w="1689" w:type="pct"/>
          <w:vAlign w:val="bottom"/>
        </w:tcPr>
        <w:p w:rsidR="000F60DE" w:rsidRPr="00C401B0" w:rsidRDefault="000F60DE" w:rsidP="000F60DE">
          <w:pPr>
            <w:pStyle w:val="Footer"/>
            <w:rPr>
              <w:rFonts w:eastAsiaTheme="minorEastAsia"/>
              <w:noProof/>
              <w:sz w:val="12"/>
              <w:szCs w:val="12"/>
            </w:rPr>
          </w:pPr>
          <w:r w:rsidRPr="00C401B0">
            <w:rPr>
              <w:rFonts w:eastAsiaTheme="minorEastAsia"/>
              <w:noProof/>
              <w:sz w:val="12"/>
              <w:szCs w:val="12"/>
            </w:rPr>
            <w:t>Projects &amp; Compliance</w:t>
          </w:r>
        </w:p>
      </w:tc>
      <w:tc>
        <w:tcPr>
          <w:tcW w:w="1662" w:type="pct"/>
          <w:vAlign w:val="bottom"/>
        </w:tcPr>
        <w:p w:rsidR="000F60DE" w:rsidRPr="00C401B0" w:rsidRDefault="000F60DE" w:rsidP="000F60DE">
          <w:pPr>
            <w:pStyle w:val="Footer"/>
            <w:jc w:val="center"/>
            <w:rPr>
              <w:rFonts w:eastAsiaTheme="minorEastAsia"/>
              <w:noProof/>
              <w:sz w:val="12"/>
              <w:szCs w:val="12"/>
            </w:rPr>
          </w:pPr>
          <w:r w:rsidRPr="00C401B0">
            <w:rPr>
              <w:rFonts w:eastAsiaTheme="minorEastAsia"/>
              <w:noProof/>
              <w:sz w:val="12"/>
              <w:szCs w:val="12"/>
            </w:rPr>
            <w:t>Doc ver: 2013-01-21</w:t>
          </w:r>
        </w:p>
      </w:tc>
      <w:tc>
        <w:tcPr>
          <w:tcW w:w="1649" w:type="pct"/>
        </w:tcPr>
        <w:p w:rsidR="000F60DE" w:rsidRPr="00C401B0" w:rsidRDefault="000F60DE" w:rsidP="000F60DE">
          <w:pPr>
            <w:pStyle w:val="Footer"/>
            <w:jc w:val="right"/>
            <w:rPr>
              <w:rFonts w:eastAsiaTheme="minorEastAsia"/>
              <w:bCs/>
              <w:noProof/>
              <w:sz w:val="12"/>
              <w:szCs w:val="12"/>
            </w:rPr>
          </w:pPr>
          <w:r w:rsidRPr="00C401B0">
            <w:rPr>
              <w:rFonts w:eastAsiaTheme="minorEastAsia"/>
              <w:bCs/>
              <w:noProof/>
              <w:sz w:val="12"/>
              <w:szCs w:val="12"/>
            </w:rPr>
            <w:t xml:space="preserve">Page </w:t>
          </w:r>
          <w:r w:rsidR="003F6D2B" w:rsidRPr="00C401B0">
            <w:rPr>
              <w:rFonts w:eastAsiaTheme="minorEastAsia"/>
              <w:bCs/>
              <w:noProof/>
              <w:sz w:val="12"/>
              <w:szCs w:val="12"/>
            </w:rPr>
            <w:fldChar w:fldCharType="begin"/>
          </w:r>
          <w:r w:rsidRPr="00C401B0">
            <w:rPr>
              <w:rFonts w:eastAsiaTheme="minorEastAsia"/>
              <w:bCs/>
              <w:noProof/>
              <w:sz w:val="12"/>
              <w:szCs w:val="12"/>
            </w:rPr>
            <w:instrText xml:space="preserve"> PAGE  \* Arabic  \* MERGEFORMAT </w:instrText>
          </w:r>
          <w:r w:rsidR="003F6D2B" w:rsidRPr="00C401B0">
            <w:rPr>
              <w:rFonts w:eastAsiaTheme="minorEastAsia"/>
              <w:bCs/>
              <w:noProof/>
              <w:sz w:val="12"/>
              <w:szCs w:val="12"/>
            </w:rPr>
            <w:fldChar w:fldCharType="separate"/>
          </w:r>
          <w:r w:rsidR="00E75BFD">
            <w:rPr>
              <w:rFonts w:eastAsiaTheme="minorEastAsia"/>
              <w:bCs/>
              <w:noProof/>
              <w:sz w:val="12"/>
              <w:szCs w:val="12"/>
            </w:rPr>
            <w:t>4</w:t>
          </w:r>
          <w:r w:rsidR="003F6D2B" w:rsidRPr="00C401B0">
            <w:rPr>
              <w:rFonts w:eastAsiaTheme="minorEastAsia"/>
              <w:bCs/>
              <w:noProof/>
              <w:sz w:val="12"/>
              <w:szCs w:val="12"/>
            </w:rPr>
            <w:fldChar w:fldCharType="end"/>
          </w:r>
          <w:r w:rsidRPr="00C401B0">
            <w:rPr>
              <w:rFonts w:eastAsiaTheme="minorEastAsia"/>
              <w:bCs/>
              <w:noProof/>
              <w:sz w:val="12"/>
              <w:szCs w:val="12"/>
            </w:rPr>
            <w:t xml:space="preserve">of </w:t>
          </w:r>
          <w:fldSimple w:instr=" SECTIONPAGES  \* Arabic  \* MERGEFORMAT ">
            <w:r w:rsidR="00E75BFD" w:rsidRPr="00E75BFD">
              <w:rPr>
                <w:rFonts w:eastAsiaTheme="minorEastAsia"/>
                <w:bCs/>
                <w:noProof/>
                <w:sz w:val="12"/>
                <w:szCs w:val="12"/>
              </w:rPr>
              <w:t>5</w:t>
            </w:r>
          </w:fldSimple>
        </w:p>
      </w:tc>
    </w:tr>
  </w:tbl>
  <w:p w:rsidR="000F60DE" w:rsidRPr="0039510C" w:rsidRDefault="000F60DE" w:rsidP="00EC6156">
    <w:pPr>
      <w:pStyle w:val="Footer"/>
      <w:rPr>
        <w:rFonts w:cs="Times New Roman"/>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DDE" w:rsidRDefault="00900DD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60DE" w:rsidRDefault="000F60DE" w:rsidP="003B4BC3">
      <w:pPr>
        <w:spacing w:after="0" w:line="240" w:lineRule="auto"/>
      </w:pPr>
      <w:r>
        <w:separator/>
      </w:r>
    </w:p>
  </w:footnote>
  <w:footnote w:type="continuationSeparator" w:id="0">
    <w:p w:rsidR="000F60DE" w:rsidRDefault="000F60DE" w:rsidP="003B4B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DDE" w:rsidRDefault="00900DD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72"/>
      <w:gridCol w:w="3672"/>
      <w:gridCol w:w="3672"/>
    </w:tblGrid>
    <w:tr w:rsidR="000F60DE" w:rsidRPr="00B946CE" w:rsidTr="002C69BF">
      <w:trPr>
        <w:trHeight w:val="347"/>
      </w:trPr>
      <w:tc>
        <w:tcPr>
          <w:tcW w:w="3672" w:type="dxa"/>
          <w:vMerge w:val="restart"/>
        </w:tcPr>
        <w:p w:rsidR="000F60DE" w:rsidRPr="00B946CE" w:rsidRDefault="000F60DE">
          <w:pPr>
            <w:pStyle w:val="Header"/>
            <w:rPr>
              <w:sz w:val="12"/>
              <w:szCs w:val="12"/>
            </w:rPr>
          </w:pPr>
          <w:r w:rsidRPr="00B946CE">
            <w:rPr>
              <w:noProof/>
              <w:sz w:val="12"/>
              <w:szCs w:val="12"/>
            </w:rPr>
            <w:drawing>
              <wp:inline distT="0" distB="0" distL="0" distR="0">
                <wp:extent cx="684107" cy="530222"/>
                <wp:effectExtent l="19050" t="0" r="1693"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87133" cy="532568"/>
                        </a:xfrm>
                        <a:prstGeom prst="rect">
                          <a:avLst/>
                        </a:prstGeom>
                        <a:noFill/>
                        <a:ln w="9525">
                          <a:noFill/>
                          <a:miter lim="800000"/>
                          <a:headEnd/>
                          <a:tailEnd/>
                        </a:ln>
                      </pic:spPr>
                    </pic:pic>
                  </a:graphicData>
                </a:graphic>
              </wp:inline>
            </w:drawing>
          </w:r>
        </w:p>
        <w:p w:rsidR="000F60DE" w:rsidRDefault="000F60DE">
          <w:pPr>
            <w:pStyle w:val="Header"/>
            <w:rPr>
              <w:rFonts w:cs="Times New Roman"/>
              <w:b/>
              <w:color w:val="FF0000"/>
              <w:sz w:val="12"/>
              <w:szCs w:val="12"/>
            </w:rPr>
          </w:pPr>
          <w:r w:rsidRPr="00B946CE">
            <w:rPr>
              <w:rFonts w:cs="Times New Roman"/>
              <w:b/>
              <w:color w:val="FF0000"/>
              <w:sz w:val="12"/>
              <w:szCs w:val="12"/>
            </w:rPr>
            <w:t>Fire Suppression Services Incorporated</w:t>
          </w:r>
        </w:p>
        <w:p w:rsidR="000F60DE" w:rsidRPr="00B946CE" w:rsidRDefault="000F60DE">
          <w:pPr>
            <w:pStyle w:val="Header"/>
            <w:rPr>
              <w:sz w:val="12"/>
              <w:szCs w:val="12"/>
            </w:rPr>
          </w:pPr>
          <w:r w:rsidRPr="00B946CE">
            <w:rPr>
              <w:rFonts w:cs="Times New Roman"/>
              <w:sz w:val="12"/>
              <w:szCs w:val="12"/>
            </w:rPr>
            <w:t>3802 South 2300 East, Salt Lake City. UT 84109. Ph (801) 277-6464</w:t>
          </w:r>
        </w:p>
      </w:tc>
      <w:tc>
        <w:tcPr>
          <w:tcW w:w="3672" w:type="dxa"/>
        </w:tcPr>
        <w:p w:rsidR="000F60DE" w:rsidRDefault="00900DDE" w:rsidP="00AF6A2F">
          <w:pPr>
            <w:pStyle w:val="Header"/>
            <w:jc w:val="center"/>
            <w:rPr>
              <w:rFonts w:cs="Times New Roman"/>
              <w:b/>
            </w:rPr>
          </w:pPr>
          <w:r>
            <w:rPr>
              <w:rFonts w:cs="Times New Roman"/>
              <w:b/>
            </w:rPr>
            <w:t>AWWA</w:t>
          </w:r>
        </w:p>
        <w:p w:rsidR="00884EA1" w:rsidRPr="004855BA" w:rsidRDefault="00884EA1" w:rsidP="00AF6A2F">
          <w:pPr>
            <w:pStyle w:val="Header"/>
            <w:jc w:val="center"/>
            <w:rPr>
              <w:rFonts w:cs="Times New Roman"/>
              <w:b/>
            </w:rPr>
          </w:pPr>
          <w:r>
            <w:rPr>
              <w:rFonts w:cs="Times New Roman"/>
              <w:b/>
            </w:rPr>
            <w:t>&amp;</w:t>
          </w:r>
        </w:p>
      </w:tc>
      <w:tc>
        <w:tcPr>
          <w:tcW w:w="3672" w:type="dxa"/>
        </w:tcPr>
        <w:p w:rsidR="000F60DE" w:rsidRPr="005E02E9" w:rsidRDefault="000F60DE" w:rsidP="00A67025">
          <w:pPr>
            <w:pStyle w:val="Header"/>
            <w:jc w:val="right"/>
            <w:rPr>
              <w:b/>
              <w:color w:val="365F91" w:themeColor="accent1" w:themeShade="BF"/>
            </w:rPr>
          </w:pPr>
          <w:r>
            <w:rPr>
              <w:rFonts w:cs="Times New Roman"/>
              <w:b/>
              <w:color w:val="365F91" w:themeColor="accent1" w:themeShade="BF"/>
            </w:rPr>
            <w:t>ED</w:t>
          </w:r>
        </w:p>
      </w:tc>
    </w:tr>
    <w:tr w:rsidR="000F60DE" w:rsidRPr="00B946CE" w:rsidTr="002C69BF">
      <w:trPr>
        <w:trHeight w:val="346"/>
      </w:trPr>
      <w:tc>
        <w:tcPr>
          <w:tcW w:w="3672" w:type="dxa"/>
          <w:vMerge/>
        </w:tcPr>
        <w:p w:rsidR="000F60DE" w:rsidRPr="00B946CE" w:rsidRDefault="000F60DE">
          <w:pPr>
            <w:pStyle w:val="Header"/>
            <w:rPr>
              <w:noProof/>
              <w:sz w:val="12"/>
              <w:szCs w:val="12"/>
            </w:rPr>
          </w:pPr>
        </w:p>
      </w:tc>
      <w:tc>
        <w:tcPr>
          <w:tcW w:w="3672" w:type="dxa"/>
        </w:tcPr>
        <w:p w:rsidR="000F60DE" w:rsidRPr="00900DDE" w:rsidRDefault="00900DDE" w:rsidP="00EC6156">
          <w:pPr>
            <w:pStyle w:val="Header"/>
            <w:jc w:val="center"/>
            <w:rPr>
              <w:rFonts w:cs="Times New Roman"/>
              <w:b/>
            </w:rPr>
          </w:pPr>
          <w:r w:rsidRPr="00900DDE">
            <w:rPr>
              <w:rFonts w:cs="Times New Roman"/>
              <w:b/>
            </w:rPr>
            <w:t>NFPA 291</w:t>
          </w:r>
        </w:p>
      </w:tc>
      <w:tc>
        <w:tcPr>
          <w:tcW w:w="3672" w:type="dxa"/>
        </w:tcPr>
        <w:p w:rsidR="000F60DE" w:rsidRPr="00B946CE" w:rsidRDefault="000F60DE">
          <w:pPr>
            <w:pStyle w:val="Header"/>
          </w:pPr>
        </w:p>
      </w:tc>
    </w:tr>
  </w:tbl>
  <w:p w:rsidR="000F60DE" w:rsidRPr="00B946CE" w:rsidRDefault="000F60DE" w:rsidP="003B4BC3">
    <w:pPr>
      <w:pStyle w:val="Header"/>
      <w:rPr>
        <w:rFonts w:cs="Times New Roman"/>
        <w:sz w:val="12"/>
        <w:szCs w:val="12"/>
      </w:rPr>
    </w:pPr>
  </w:p>
  <w:p w:rsidR="000F60DE" w:rsidRDefault="003F6D2B">
    <w:pPr>
      <w:pStyle w:val="Header"/>
    </w:pPr>
    <w:r>
      <w:rPr>
        <w:noProof/>
      </w:rPr>
      <w:pict>
        <v:shapetype id="_x0000_t32" coordsize="21600,21600" o:spt="32" o:oned="t" path="m,l21600,21600e" filled="f">
          <v:path arrowok="t" fillok="f" o:connecttype="none"/>
          <o:lock v:ext="edit" shapetype="t"/>
        </v:shapetype>
        <v:shape id="_x0000_s2050" type="#_x0000_t32" style="position:absolute;margin-left:1pt;margin-top:6.85pt;width:538.5pt;height:0;z-index:251659264" o:connectortype="straigh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DDE" w:rsidRDefault="00900DD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D147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2707D0E"/>
    <w:multiLevelType w:val="hybridMultilevel"/>
    <w:tmpl w:val="A05ED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B21889"/>
    <w:multiLevelType w:val="hybridMultilevel"/>
    <w:tmpl w:val="F39687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DB7797"/>
    <w:multiLevelType w:val="hybridMultilevel"/>
    <w:tmpl w:val="75F845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BE4359"/>
    <w:multiLevelType w:val="hybridMultilevel"/>
    <w:tmpl w:val="BA028AA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nsid w:val="32A36628"/>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nsid w:val="32BB5BD4"/>
    <w:multiLevelType w:val="hybridMultilevel"/>
    <w:tmpl w:val="2E68BBFE"/>
    <w:lvl w:ilvl="0" w:tplc="9154BBD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7AB4720"/>
    <w:multiLevelType w:val="hybridMultilevel"/>
    <w:tmpl w:val="C1BCC5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5DD16D0A"/>
    <w:multiLevelType w:val="hybridMultilevel"/>
    <w:tmpl w:val="B19A0EF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9">
    <w:nsid w:val="5E1B7A28"/>
    <w:multiLevelType w:val="hybridMultilevel"/>
    <w:tmpl w:val="9A32E026"/>
    <w:lvl w:ilvl="0" w:tplc="0409000F">
      <w:start w:val="1"/>
      <w:numFmt w:val="decimal"/>
      <w:lvlText w:val="%1."/>
      <w:lvlJc w:val="left"/>
      <w:pPr>
        <w:ind w:left="763" w:hanging="360"/>
      </w:pPr>
      <w:rPr>
        <w:rFonts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0">
    <w:nsid w:val="630F7D38"/>
    <w:multiLevelType w:val="hybridMultilevel"/>
    <w:tmpl w:val="52D89F9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6A3826EA"/>
    <w:multiLevelType w:val="hybridMultilevel"/>
    <w:tmpl w:val="DC428902"/>
    <w:lvl w:ilvl="0" w:tplc="FEC6A786">
      <w:start w:val="1"/>
      <w:numFmt w:val="bullet"/>
      <w:lvlText w:val=""/>
      <w:lvlJc w:val="left"/>
      <w:pPr>
        <w:ind w:left="720" w:hanging="360"/>
      </w:pPr>
      <w:rPr>
        <w:rFonts w:ascii="Symbol" w:hAnsi="Symbol" w:hint="default"/>
        <w:sz w:val="44"/>
        <w:szCs w:val="44"/>
      </w:rPr>
    </w:lvl>
    <w:lvl w:ilvl="1" w:tplc="8EBAFD30">
      <w:start w:val="1"/>
      <w:numFmt w:val="bullet"/>
      <w:lvlText w:val=""/>
      <w:lvlJc w:val="left"/>
      <w:pPr>
        <w:ind w:left="1440" w:hanging="360"/>
      </w:pPr>
      <w:rPr>
        <w:rFonts w:ascii="Symbol" w:hAnsi="Symbol" w:hint="default"/>
        <w:sz w:val="36"/>
        <w:szCs w:val="36"/>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2660506"/>
    <w:multiLevelType w:val="hybridMultilevel"/>
    <w:tmpl w:val="44A0008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7915622F"/>
    <w:multiLevelType w:val="hybridMultilevel"/>
    <w:tmpl w:val="E5906A3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7A8D560D"/>
    <w:multiLevelType w:val="hybridMultilevel"/>
    <w:tmpl w:val="9A32E02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10"/>
  </w:num>
  <w:num w:numId="6">
    <w:abstractNumId w:val="3"/>
  </w:num>
  <w:num w:numId="7">
    <w:abstractNumId w:val="2"/>
  </w:num>
  <w:num w:numId="8">
    <w:abstractNumId w:val="7"/>
  </w:num>
  <w:num w:numId="9">
    <w:abstractNumId w:val="4"/>
  </w:num>
  <w:num w:numId="10">
    <w:abstractNumId w:val="1"/>
  </w:num>
  <w:num w:numId="11">
    <w:abstractNumId w:val="0"/>
  </w:num>
  <w:num w:numId="12">
    <w:abstractNumId w:val="8"/>
  </w:num>
  <w:num w:numId="13">
    <w:abstractNumId w:val="9"/>
  </w:num>
  <w:num w:numId="14">
    <w:abstractNumId w:val="14"/>
  </w:num>
  <w:num w:numId="15">
    <w:abstractNumId w:val="11"/>
  </w:num>
  <w:num w:numId="16">
    <w:abstractNumId w:val="5"/>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drawingGridHorizontalSpacing w:val="110"/>
  <w:displayHorizontalDrawingGridEvery w:val="2"/>
  <w:characterSpacingControl w:val="doNotCompress"/>
  <w:hdrShapeDefaults>
    <o:shapedefaults v:ext="edit" spidmax="2054"/>
    <o:shapelayout v:ext="edit">
      <o:idmap v:ext="edit" data="2"/>
      <o:rules v:ext="edit">
        <o:r id="V:Rule3" type="connector" idref="#_x0000_s2050"/>
        <o:r id="V:Rule4" type="connector" idref="#_x0000_s2053"/>
      </o:rules>
    </o:shapelayout>
  </w:hdrShapeDefaults>
  <w:footnotePr>
    <w:footnote w:id="-1"/>
    <w:footnote w:id="0"/>
  </w:footnotePr>
  <w:endnotePr>
    <w:endnote w:id="-1"/>
    <w:endnote w:id="0"/>
  </w:endnotePr>
  <w:compat/>
  <w:rsids>
    <w:rsidRoot w:val="00B23375"/>
    <w:rsid w:val="00005C77"/>
    <w:rsid w:val="00012036"/>
    <w:rsid w:val="00014150"/>
    <w:rsid w:val="00021367"/>
    <w:rsid w:val="000341A6"/>
    <w:rsid w:val="0003558B"/>
    <w:rsid w:val="00042CAB"/>
    <w:rsid w:val="00047344"/>
    <w:rsid w:val="00050B33"/>
    <w:rsid w:val="00070FE4"/>
    <w:rsid w:val="000839A2"/>
    <w:rsid w:val="00086560"/>
    <w:rsid w:val="00090025"/>
    <w:rsid w:val="00094C40"/>
    <w:rsid w:val="00095AF9"/>
    <w:rsid w:val="000A34DA"/>
    <w:rsid w:val="000A530B"/>
    <w:rsid w:val="000B03C8"/>
    <w:rsid w:val="000C6816"/>
    <w:rsid w:val="000D22E6"/>
    <w:rsid w:val="000E055C"/>
    <w:rsid w:val="000F04DC"/>
    <w:rsid w:val="000F60DE"/>
    <w:rsid w:val="00100F3E"/>
    <w:rsid w:val="00101703"/>
    <w:rsid w:val="0013446C"/>
    <w:rsid w:val="00135C56"/>
    <w:rsid w:val="00137D47"/>
    <w:rsid w:val="00140A72"/>
    <w:rsid w:val="001559E7"/>
    <w:rsid w:val="0016585E"/>
    <w:rsid w:val="001A6CC9"/>
    <w:rsid w:val="001A75EE"/>
    <w:rsid w:val="001B7EF2"/>
    <w:rsid w:val="001C249A"/>
    <w:rsid w:val="001C4574"/>
    <w:rsid w:val="001C5DA7"/>
    <w:rsid w:val="001D7198"/>
    <w:rsid w:val="001E4755"/>
    <w:rsid w:val="001E5BC3"/>
    <w:rsid w:val="001F4A93"/>
    <w:rsid w:val="001F67CB"/>
    <w:rsid w:val="0020688F"/>
    <w:rsid w:val="002236EA"/>
    <w:rsid w:val="00240374"/>
    <w:rsid w:val="0024532D"/>
    <w:rsid w:val="002561C0"/>
    <w:rsid w:val="00280390"/>
    <w:rsid w:val="002937DF"/>
    <w:rsid w:val="00293D60"/>
    <w:rsid w:val="002A294B"/>
    <w:rsid w:val="002A54D9"/>
    <w:rsid w:val="002A5AAE"/>
    <w:rsid w:val="002B0568"/>
    <w:rsid w:val="002B630E"/>
    <w:rsid w:val="002C3419"/>
    <w:rsid w:val="002C4660"/>
    <w:rsid w:val="002C69BF"/>
    <w:rsid w:val="002D022B"/>
    <w:rsid w:val="002D269E"/>
    <w:rsid w:val="002D55BE"/>
    <w:rsid w:val="003237F4"/>
    <w:rsid w:val="00332BD2"/>
    <w:rsid w:val="00353128"/>
    <w:rsid w:val="00356930"/>
    <w:rsid w:val="00364AD7"/>
    <w:rsid w:val="0038650A"/>
    <w:rsid w:val="0038762C"/>
    <w:rsid w:val="0039510C"/>
    <w:rsid w:val="003975F8"/>
    <w:rsid w:val="003A731A"/>
    <w:rsid w:val="003B1655"/>
    <w:rsid w:val="003B4BC3"/>
    <w:rsid w:val="003B5D3F"/>
    <w:rsid w:val="003E6062"/>
    <w:rsid w:val="003F6D2B"/>
    <w:rsid w:val="004011BA"/>
    <w:rsid w:val="00405DA6"/>
    <w:rsid w:val="00417D42"/>
    <w:rsid w:val="00435F40"/>
    <w:rsid w:val="00435F90"/>
    <w:rsid w:val="004431C3"/>
    <w:rsid w:val="004468A4"/>
    <w:rsid w:val="00453A59"/>
    <w:rsid w:val="00454F7F"/>
    <w:rsid w:val="00456DA7"/>
    <w:rsid w:val="0045742B"/>
    <w:rsid w:val="00465B0F"/>
    <w:rsid w:val="004763F9"/>
    <w:rsid w:val="00481BF7"/>
    <w:rsid w:val="00483668"/>
    <w:rsid w:val="004855BA"/>
    <w:rsid w:val="00494D4B"/>
    <w:rsid w:val="004A05BC"/>
    <w:rsid w:val="004A300A"/>
    <w:rsid w:val="004B0F8F"/>
    <w:rsid w:val="004C28A8"/>
    <w:rsid w:val="004D015C"/>
    <w:rsid w:val="004D3636"/>
    <w:rsid w:val="004D5B51"/>
    <w:rsid w:val="004E328E"/>
    <w:rsid w:val="004F0368"/>
    <w:rsid w:val="00506070"/>
    <w:rsid w:val="0050741C"/>
    <w:rsid w:val="005145ED"/>
    <w:rsid w:val="00531C7F"/>
    <w:rsid w:val="00537A64"/>
    <w:rsid w:val="00556BAD"/>
    <w:rsid w:val="00564EC5"/>
    <w:rsid w:val="005655DA"/>
    <w:rsid w:val="00570CF9"/>
    <w:rsid w:val="00577592"/>
    <w:rsid w:val="005837DC"/>
    <w:rsid w:val="00586371"/>
    <w:rsid w:val="005863D4"/>
    <w:rsid w:val="00597AEA"/>
    <w:rsid w:val="005A00DA"/>
    <w:rsid w:val="005A14D9"/>
    <w:rsid w:val="005B7AA4"/>
    <w:rsid w:val="005E02E9"/>
    <w:rsid w:val="005E1D65"/>
    <w:rsid w:val="005F7DAA"/>
    <w:rsid w:val="00601334"/>
    <w:rsid w:val="00601478"/>
    <w:rsid w:val="006123C8"/>
    <w:rsid w:val="006169CD"/>
    <w:rsid w:val="00651279"/>
    <w:rsid w:val="00651960"/>
    <w:rsid w:val="00653CDE"/>
    <w:rsid w:val="00654A9E"/>
    <w:rsid w:val="00673294"/>
    <w:rsid w:val="00690F1A"/>
    <w:rsid w:val="006A2D70"/>
    <w:rsid w:val="006A72A6"/>
    <w:rsid w:val="006B326E"/>
    <w:rsid w:val="006F2C27"/>
    <w:rsid w:val="006F30D2"/>
    <w:rsid w:val="006F3DF4"/>
    <w:rsid w:val="00700093"/>
    <w:rsid w:val="00715A79"/>
    <w:rsid w:val="007212E9"/>
    <w:rsid w:val="00722441"/>
    <w:rsid w:val="00723E42"/>
    <w:rsid w:val="007240B1"/>
    <w:rsid w:val="007272A4"/>
    <w:rsid w:val="0073349E"/>
    <w:rsid w:val="007349D7"/>
    <w:rsid w:val="00742A07"/>
    <w:rsid w:val="00767A99"/>
    <w:rsid w:val="00770A58"/>
    <w:rsid w:val="00771408"/>
    <w:rsid w:val="00775F2F"/>
    <w:rsid w:val="00780697"/>
    <w:rsid w:val="007809E2"/>
    <w:rsid w:val="007A0D32"/>
    <w:rsid w:val="007A5171"/>
    <w:rsid w:val="007D66E0"/>
    <w:rsid w:val="007E0DF2"/>
    <w:rsid w:val="007E30DC"/>
    <w:rsid w:val="007E7CED"/>
    <w:rsid w:val="007F0A08"/>
    <w:rsid w:val="007F33A3"/>
    <w:rsid w:val="007F745A"/>
    <w:rsid w:val="007F778B"/>
    <w:rsid w:val="007F7830"/>
    <w:rsid w:val="007F7BB4"/>
    <w:rsid w:val="008069DA"/>
    <w:rsid w:val="00811373"/>
    <w:rsid w:val="00820020"/>
    <w:rsid w:val="008260FF"/>
    <w:rsid w:val="00830754"/>
    <w:rsid w:val="00833D2A"/>
    <w:rsid w:val="008420A3"/>
    <w:rsid w:val="008542B5"/>
    <w:rsid w:val="00877375"/>
    <w:rsid w:val="00877701"/>
    <w:rsid w:val="008817E0"/>
    <w:rsid w:val="00884EA1"/>
    <w:rsid w:val="00886F1B"/>
    <w:rsid w:val="008A4C76"/>
    <w:rsid w:val="008B71A1"/>
    <w:rsid w:val="008C02AE"/>
    <w:rsid w:val="008D133E"/>
    <w:rsid w:val="008D780A"/>
    <w:rsid w:val="008F2241"/>
    <w:rsid w:val="00900DDE"/>
    <w:rsid w:val="009049D1"/>
    <w:rsid w:val="00945053"/>
    <w:rsid w:val="00955CD3"/>
    <w:rsid w:val="009755B5"/>
    <w:rsid w:val="0098113A"/>
    <w:rsid w:val="009838AC"/>
    <w:rsid w:val="009839FB"/>
    <w:rsid w:val="009972FB"/>
    <w:rsid w:val="009C7602"/>
    <w:rsid w:val="009E1F60"/>
    <w:rsid w:val="009E33E7"/>
    <w:rsid w:val="009E4281"/>
    <w:rsid w:val="009E5D06"/>
    <w:rsid w:val="009F4D50"/>
    <w:rsid w:val="00A03298"/>
    <w:rsid w:val="00A21300"/>
    <w:rsid w:val="00A2382B"/>
    <w:rsid w:val="00A24F3E"/>
    <w:rsid w:val="00A376A4"/>
    <w:rsid w:val="00A505D8"/>
    <w:rsid w:val="00A566B8"/>
    <w:rsid w:val="00A67025"/>
    <w:rsid w:val="00A674A4"/>
    <w:rsid w:val="00A75CD3"/>
    <w:rsid w:val="00A84EDD"/>
    <w:rsid w:val="00A853D2"/>
    <w:rsid w:val="00A8727A"/>
    <w:rsid w:val="00A9147D"/>
    <w:rsid w:val="00A93402"/>
    <w:rsid w:val="00A9383C"/>
    <w:rsid w:val="00A94C64"/>
    <w:rsid w:val="00A9635E"/>
    <w:rsid w:val="00AA402E"/>
    <w:rsid w:val="00AB3859"/>
    <w:rsid w:val="00AB77D5"/>
    <w:rsid w:val="00AD0F54"/>
    <w:rsid w:val="00AE0E79"/>
    <w:rsid w:val="00AF6A2F"/>
    <w:rsid w:val="00AF6AD4"/>
    <w:rsid w:val="00AF701B"/>
    <w:rsid w:val="00B02C20"/>
    <w:rsid w:val="00B06A5B"/>
    <w:rsid w:val="00B12130"/>
    <w:rsid w:val="00B23375"/>
    <w:rsid w:val="00B30FB4"/>
    <w:rsid w:val="00B33783"/>
    <w:rsid w:val="00B3638C"/>
    <w:rsid w:val="00B4215B"/>
    <w:rsid w:val="00B71FA4"/>
    <w:rsid w:val="00B935AE"/>
    <w:rsid w:val="00B946CE"/>
    <w:rsid w:val="00B96916"/>
    <w:rsid w:val="00B96EF1"/>
    <w:rsid w:val="00BA37EF"/>
    <w:rsid w:val="00BA6F64"/>
    <w:rsid w:val="00BB0668"/>
    <w:rsid w:val="00BC1A64"/>
    <w:rsid w:val="00BC2722"/>
    <w:rsid w:val="00BE7ACD"/>
    <w:rsid w:val="00C303BF"/>
    <w:rsid w:val="00C3585A"/>
    <w:rsid w:val="00C610CF"/>
    <w:rsid w:val="00C61BEE"/>
    <w:rsid w:val="00C75570"/>
    <w:rsid w:val="00C83E8C"/>
    <w:rsid w:val="00CA3416"/>
    <w:rsid w:val="00CA7C77"/>
    <w:rsid w:val="00CB19A1"/>
    <w:rsid w:val="00CC6689"/>
    <w:rsid w:val="00CC794D"/>
    <w:rsid w:val="00CD1AC0"/>
    <w:rsid w:val="00CE4B7D"/>
    <w:rsid w:val="00CF3CAF"/>
    <w:rsid w:val="00D25C55"/>
    <w:rsid w:val="00D355F8"/>
    <w:rsid w:val="00D4158B"/>
    <w:rsid w:val="00D46496"/>
    <w:rsid w:val="00D55F22"/>
    <w:rsid w:val="00D7455D"/>
    <w:rsid w:val="00D83A4B"/>
    <w:rsid w:val="00D8467A"/>
    <w:rsid w:val="00D858B2"/>
    <w:rsid w:val="00D87084"/>
    <w:rsid w:val="00D95751"/>
    <w:rsid w:val="00DA54E4"/>
    <w:rsid w:val="00DA5D38"/>
    <w:rsid w:val="00DB063C"/>
    <w:rsid w:val="00DB3DBA"/>
    <w:rsid w:val="00DB42D3"/>
    <w:rsid w:val="00DB69D4"/>
    <w:rsid w:val="00DC264C"/>
    <w:rsid w:val="00DE52D5"/>
    <w:rsid w:val="00DF4E38"/>
    <w:rsid w:val="00E013D2"/>
    <w:rsid w:val="00E073F9"/>
    <w:rsid w:val="00E11158"/>
    <w:rsid w:val="00E16E76"/>
    <w:rsid w:val="00E2259B"/>
    <w:rsid w:val="00E36A03"/>
    <w:rsid w:val="00E57437"/>
    <w:rsid w:val="00E71923"/>
    <w:rsid w:val="00E75BFD"/>
    <w:rsid w:val="00E93476"/>
    <w:rsid w:val="00E95639"/>
    <w:rsid w:val="00EA21A4"/>
    <w:rsid w:val="00EB222E"/>
    <w:rsid w:val="00EC6156"/>
    <w:rsid w:val="00ED51BB"/>
    <w:rsid w:val="00EF2790"/>
    <w:rsid w:val="00EF3293"/>
    <w:rsid w:val="00EF4D6E"/>
    <w:rsid w:val="00F33846"/>
    <w:rsid w:val="00F34BEC"/>
    <w:rsid w:val="00F370AD"/>
    <w:rsid w:val="00F371E6"/>
    <w:rsid w:val="00F462F7"/>
    <w:rsid w:val="00F608CE"/>
    <w:rsid w:val="00F61877"/>
    <w:rsid w:val="00F61BA3"/>
    <w:rsid w:val="00F66205"/>
    <w:rsid w:val="00F73781"/>
    <w:rsid w:val="00F95FE5"/>
    <w:rsid w:val="00FB106C"/>
    <w:rsid w:val="00FB7548"/>
    <w:rsid w:val="00FD6349"/>
    <w:rsid w:val="00FE3DBD"/>
    <w:rsid w:val="00FE60E4"/>
    <w:rsid w:val="00FF64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688F"/>
  </w:style>
  <w:style w:type="paragraph" w:styleId="Heading1">
    <w:name w:val="heading 1"/>
    <w:basedOn w:val="Normal"/>
    <w:next w:val="Normal"/>
    <w:link w:val="Heading1Char"/>
    <w:uiPriority w:val="9"/>
    <w:qFormat/>
    <w:rsid w:val="004E328E"/>
    <w:pPr>
      <w:keepNext/>
      <w:keepLines/>
      <w:numPr>
        <w:numId w:val="16"/>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E328E"/>
    <w:pPr>
      <w:keepNext/>
      <w:keepLines/>
      <w:numPr>
        <w:ilvl w:val="1"/>
        <w:numId w:val="16"/>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17D42"/>
    <w:pPr>
      <w:keepNext/>
      <w:keepLines/>
      <w:numPr>
        <w:ilvl w:val="2"/>
        <w:numId w:val="16"/>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17D42"/>
    <w:pPr>
      <w:keepNext/>
      <w:keepLines/>
      <w:numPr>
        <w:ilvl w:val="3"/>
        <w:numId w:val="16"/>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9635E"/>
    <w:pPr>
      <w:keepNext/>
      <w:keepLines/>
      <w:numPr>
        <w:ilvl w:val="4"/>
        <w:numId w:val="16"/>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9635E"/>
    <w:pPr>
      <w:keepNext/>
      <w:keepLines/>
      <w:numPr>
        <w:ilvl w:val="5"/>
        <w:numId w:val="16"/>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9635E"/>
    <w:pPr>
      <w:keepNext/>
      <w:keepLines/>
      <w:numPr>
        <w:ilvl w:val="6"/>
        <w:numId w:val="16"/>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9635E"/>
    <w:pPr>
      <w:keepNext/>
      <w:keepLines/>
      <w:numPr>
        <w:ilvl w:val="7"/>
        <w:numId w:val="16"/>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9635E"/>
    <w:pPr>
      <w:keepNext/>
      <w:keepLines/>
      <w:numPr>
        <w:ilvl w:val="8"/>
        <w:numId w:val="16"/>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33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3375"/>
    <w:rPr>
      <w:rFonts w:ascii="Tahoma" w:hAnsi="Tahoma" w:cs="Tahoma"/>
      <w:sz w:val="16"/>
      <w:szCs w:val="16"/>
    </w:rPr>
  </w:style>
  <w:style w:type="character" w:styleId="Hyperlink">
    <w:name w:val="Hyperlink"/>
    <w:basedOn w:val="DefaultParagraphFont"/>
    <w:unhideWhenUsed/>
    <w:rsid w:val="0045742B"/>
    <w:rPr>
      <w:color w:val="0000FF"/>
      <w:u w:val="single"/>
    </w:rPr>
  </w:style>
  <w:style w:type="paragraph" w:styleId="ListParagraph">
    <w:name w:val="List Paragraph"/>
    <w:basedOn w:val="Normal"/>
    <w:uiPriority w:val="34"/>
    <w:qFormat/>
    <w:rsid w:val="0045742B"/>
    <w:pPr>
      <w:ind w:left="720"/>
      <w:contextualSpacing/>
    </w:pPr>
  </w:style>
  <w:style w:type="paragraph" w:styleId="Header">
    <w:name w:val="header"/>
    <w:basedOn w:val="Normal"/>
    <w:link w:val="HeaderChar"/>
    <w:uiPriority w:val="99"/>
    <w:unhideWhenUsed/>
    <w:rsid w:val="003B4B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BC3"/>
  </w:style>
  <w:style w:type="paragraph" w:styleId="Footer">
    <w:name w:val="footer"/>
    <w:basedOn w:val="Normal"/>
    <w:link w:val="FooterChar"/>
    <w:uiPriority w:val="99"/>
    <w:unhideWhenUsed/>
    <w:rsid w:val="003B4B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BC3"/>
  </w:style>
  <w:style w:type="table" w:styleId="TableGrid">
    <w:name w:val="Table Grid"/>
    <w:basedOn w:val="TableNormal"/>
    <w:uiPriority w:val="59"/>
    <w:rsid w:val="00B946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4E328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E328E"/>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4E328E"/>
    <w:pPr>
      <w:spacing w:after="0" w:line="240" w:lineRule="auto"/>
    </w:pPr>
    <w:rPr>
      <w:rFonts w:cs="Times New Roman"/>
    </w:rPr>
  </w:style>
  <w:style w:type="paragraph" w:styleId="BodyText">
    <w:name w:val="Body Text"/>
    <w:basedOn w:val="Normal"/>
    <w:link w:val="BodyTextChar"/>
    <w:semiHidden/>
    <w:unhideWhenUsed/>
    <w:rsid w:val="00D858B2"/>
    <w:pPr>
      <w:spacing w:after="240" w:line="240" w:lineRule="auto"/>
    </w:pPr>
    <w:rPr>
      <w:rFonts w:eastAsia="Times New Roman" w:cs="Times New Roman"/>
    </w:rPr>
  </w:style>
  <w:style w:type="character" w:customStyle="1" w:styleId="BodyTextChar">
    <w:name w:val="Body Text Char"/>
    <w:basedOn w:val="DefaultParagraphFont"/>
    <w:link w:val="BodyText"/>
    <w:semiHidden/>
    <w:rsid w:val="00D858B2"/>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417D42"/>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semiHidden/>
    <w:rsid w:val="00417D42"/>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uiPriority w:val="9"/>
    <w:semiHidden/>
    <w:rsid w:val="00A9635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A9635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A9635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9635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9635E"/>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r="http://schemas.openxmlformats.org/officeDocument/2006/relationships" xmlns:w="http://schemas.openxmlformats.org/wordprocessingml/2006/main">
  <w:divs>
    <w:div w:id="221336266">
      <w:bodyDiv w:val="1"/>
      <w:marLeft w:val="0"/>
      <w:marRight w:val="0"/>
      <w:marTop w:val="0"/>
      <w:marBottom w:val="0"/>
      <w:divBdr>
        <w:top w:val="none" w:sz="0" w:space="0" w:color="auto"/>
        <w:left w:val="none" w:sz="0" w:space="0" w:color="auto"/>
        <w:bottom w:val="none" w:sz="0" w:space="0" w:color="auto"/>
        <w:right w:val="none" w:sz="0" w:space="0" w:color="auto"/>
      </w:divBdr>
    </w:div>
    <w:div w:id="400638775">
      <w:bodyDiv w:val="1"/>
      <w:marLeft w:val="0"/>
      <w:marRight w:val="0"/>
      <w:marTop w:val="0"/>
      <w:marBottom w:val="0"/>
      <w:divBdr>
        <w:top w:val="none" w:sz="0" w:space="0" w:color="auto"/>
        <w:left w:val="none" w:sz="0" w:space="0" w:color="auto"/>
        <w:bottom w:val="none" w:sz="0" w:space="0" w:color="auto"/>
        <w:right w:val="none" w:sz="0" w:space="0" w:color="auto"/>
      </w:divBdr>
    </w:div>
    <w:div w:id="427971789">
      <w:bodyDiv w:val="1"/>
      <w:marLeft w:val="0"/>
      <w:marRight w:val="0"/>
      <w:marTop w:val="0"/>
      <w:marBottom w:val="0"/>
      <w:divBdr>
        <w:top w:val="none" w:sz="0" w:space="0" w:color="auto"/>
        <w:left w:val="none" w:sz="0" w:space="0" w:color="auto"/>
        <w:bottom w:val="none" w:sz="0" w:space="0" w:color="auto"/>
        <w:right w:val="none" w:sz="0" w:space="0" w:color="auto"/>
      </w:divBdr>
    </w:div>
    <w:div w:id="1147092745">
      <w:bodyDiv w:val="1"/>
      <w:marLeft w:val="0"/>
      <w:marRight w:val="0"/>
      <w:marTop w:val="0"/>
      <w:marBottom w:val="0"/>
      <w:divBdr>
        <w:top w:val="none" w:sz="0" w:space="0" w:color="auto"/>
        <w:left w:val="none" w:sz="0" w:space="0" w:color="auto"/>
        <w:bottom w:val="none" w:sz="0" w:space="0" w:color="auto"/>
        <w:right w:val="none" w:sz="0" w:space="0" w:color="auto"/>
      </w:divBdr>
    </w:div>
    <w:div w:id="1448506388">
      <w:bodyDiv w:val="1"/>
      <w:marLeft w:val="0"/>
      <w:marRight w:val="0"/>
      <w:marTop w:val="0"/>
      <w:marBottom w:val="0"/>
      <w:divBdr>
        <w:top w:val="none" w:sz="0" w:space="0" w:color="auto"/>
        <w:left w:val="none" w:sz="0" w:space="0" w:color="auto"/>
        <w:bottom w:val="none" w:sz="0" w:space="0" w:color="auto"/>
        <w:right w:val="none" w:sz="0" w:space="0" w:color="auto"/>
      </w:divBdr>
    </w:div>
    <w:div w:id="1589466658">
      <w:bodyDiv w:val="1"/>
      <w:marLeft w:val="0"/>
      <w:marRight w:val="0"/>
      <w:marTop w:val="0"/>
      <w:marBottom w:val="0"/>
      <w:divBdr>
        <w:top w:val="none" w:sz="0" w:space="0" w:color="auto"/>
        <w:left w:val="none" w:sz="0" w:space="0" w:color="auto"/>
        <w:bottom w:val="none" w:sz="0" w:space="0" w:color="auto"/>
        <w:right w:val="none" w:sz="0" w:space="0" w:color="auto"/>
      </w:divBdr>
    </w:div>
    <w:div w:id="1749500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e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DC6465-03F0-4012-B22C-081A87B65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578</TotalTime>
  <Pages>5</Pages>
  <Words>539</Words>
  <Characters>3078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3610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Arun</dc:creator>
  <cp:lastModifiedBy>Note</cp:lastModifiedBy>
  <cp:revision>135</cp:revision>
  <cp:lastPrinted>2012-08-28T22:06:00Z</cp:lastPrinted>
  <dcterms:created xsi:type="dcterms:W3CDTF">2012-08-27T23:08:00Z</dcterms:created>
  <dcterms:modified xsi:type="dcterms:W3CDTF">2017-09-28T18:25:00Z</dcterms:modified>
</cp:coreProperties>
</file>