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3B" w:rsidRPr="00B026B7" w:rsidRDefault="007F673B" w:rsidP="007F673B">
      <w:pPr>
        <w:spacing w:after="180" w:line="240" w:lineRule="auto"/>
        <w:outlineLvl w:val="0"/>
        <w:rPr>
          <w:rFonts w:eastAsia="Times New Roman" w:cs="Times New Roman"/>
          <w:color w:val="C4243F"/>
          <w:kern w:val="36"/>
          <w:sz w:val="36"/>
          <w:szCs w:val="41"/>
        </w:rPr>
      </w:pPr>
      <w:r w:rsidRPr="00B026B7">
        <w:rPr>
          <w:rFonts w:eastAsia="Times New Roman" w:cs="Times New Roman"/>
          <w:color w:val="C4243F"/>
          <w:kern w:val="36"/>
          <w:sz w:val="36"/>
          <w:szCs w:val="41"/>
        </w:rPr>
        <w:t>NFPA 72 2013 Brings Big Changes to</w:t>
      </w:r>
      <w:r w:rsidR="00CF02B1" w:rsidRPr="00C37204">
        <w:rPr>
          <w:rFonts w:eastAsia="Times New Roman" w:cs="Times New Roman"/>
          <w:color w:val="C4243F"/>
          <w:kern w:val="36"/>
          <w:sz w:val="36"/>
          <w:szCs w:val="41"/>
        </w:rPr>
        <w:t xml:space="preserve"> Central Station Communications</w:t>
      </w: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color w:val="000000"/>
          <w:sz w:val="20"/>
          <w:szCs w:val="20"/>
          <w:bdr w:val="none" w:sz="0" w:space="0" w:color="auto" w:frame="1"/>
        </w:rPr>
        <w:t xml:space="preserve">One of the fire alarm industry’s more significant changes in recent years has been the updates to the </w:t>
      </w:r>
      <w:hyperlink r:id="rId9" w:tgtFrame="_blank" w:history="1">
        <w:r w:rsidRPr="00B026B7">
          <w:rPr>
            <w:rFonts w:eastAsia="Times New Roman" w:cs="Times New Roman"/>
            <w:color w:val="333333"/>
            <w:sz w:val="20"/>
            <w:szCs w:val="20"/>
            <w:u w:val="single"/>
            <w:bdr w:val="none" w:sz="0" w:space="0" w:color="auto" w:frame="1"/>
          </w:rPr>
          <w:t>NFPA 72 2013</w:t>
        </w:r>
      </w:hyperlink>
      <w:r w:rsidRPr="00B026B7">
        <w:rPr>
          <w:rFonts w:eastAsia="Times New Roman" w:cs="Times New Roman"/>
          <w:color w:val="000000"/>
          <w:sz w:val="20"/>
          <w:szCs w:val="20"/>
          <w:bdr w:val="none" w:sz="0" w:space="0" w:color="auto" w:frame="1"/>
        </w:rPr>
        <w:t xml:space="preserve"> code for central station communications. It is vital that fire alarm dealers understand the evolution of these requirements, which will have a significant impact on the entire industry in the coming years.</w:t>
      </w:r>
      <w:r w:rsidRPr="00B026B7">
        <w:rPr>
          <w:rFonts w:eastAsia="Times New Roman" w:cs="Times New Roman"/>
          <w:color w:val="000000"/>
          <w:sz w:val="20"/>
          <w:szCs w:val="20"/>
          <w:bdr w:val="none" w:sz="0" w:space="0" w:color="auto" w:frame="1"/>
        </w:rPr>
        <w:br/>
      </w: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b/>
          <w:bCs/>
          <w:color w:val="000000"/>
          <w:sz w:val="20"/>
          <w:szCs w:val="20"/>
          <w:bdr w:val="none" w:sz="0" w:space="0" w:color="auto" w:frame="1"/>
        </w:rPr>
        <w:t>Changes in the Technology</w:t>
      </w:r>
    </w:p>
    <w:p w:rsidR="007F673B" w:rsidRPr="00B026B7" w:rsidRDefault="007F673B" w:rsidP="007F673B">
      <w:pPr>
        <w:spacing w:after="150" w:line="240" w:lineRule="auto"/>
        <w:rPr>
          <w:rFonts w:eastAsia="Times New Roman" w:cs="Times New Roman"/>
          <w:color w:val="000000"/>
          <w:sz w:val="20"/>
          <w:szCs w:val="20"/>
        </w:rPr>
      </w:pPr>
      <w:r w:rsidRPr="00B026B7">
        <w:rPr>
          <w:rFonts w:eastAsia="Times New Roman" w:cs="Times New Roman"/>
          <w:color w:val="000000"/>
          <w:sz w:val="20"/>
          <w:szCs w:val="20"/>
        </w:rPr>
        <w:t>The way fire panels communicate to a central station is undergoing significant changes in the future. For more than 40 years, plain old telephone systems (POTS) had been used for fire alarm communications. Today, analog POTS are becoming an obsolete technology and eventually will be phased out. Even the FCC says POTS is not sustainable, and AT&amp;T agrees the technology is past its prime. </w:t>
      </w:r>
    </w:p>
    <w:p w:rsidR="007F673B" w:rsidRPr="00B026B7" w:rsidRDefault="007F673B" w:rsidP="007F673B">
      <w:pPr>
        <w:spacing w:after="150" w:line="240" w:lineRule="auto"/>
        <w:rPr>
          <w:rFonts w:eastAsia="Times New Roman" w:cs="Times New Roman"/>
          <w:color w:val="000000"/>
          <w:sz w:val="20"/>
          <w:szCs w:val="20"/>
        </w:rPr>
      </w:pPr>
      <w:r w:rsidRPr="00B026B7">
        <w:rPr>
          <w:rFonts w:eastAsia="Times New Roman" w:cs="Times New Roman"/>
          <w:color w:val="000000"/>
          <w:sz w:val="20"/>
          <w:szCs w:val="20"/>
        </w:rPr>
        <w:t>The transition away from POTS technology to alternative communication methods impacts the use of the traditional digital alarm communicator transmitters (DACTs) that are widely used in most fire panels on the market today. Fire alarm dealers and installers should be aware of this shift, which will begin to impact the type of technology that can be used in new installations. It will also have an impact on existing fire alarm panel installations that currently communicate over POTS and will need to be retrofitted to an alternative form of communications.</w:t>
      </w: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b/>
          <w:bCs/>
          <w:color w:val="000000"/>
          <w:sz w:val="20"/>
          <w:szCs w:val="20"/>
          <w:bdr w:val="none" w:sz="0" w:space="0" w:color="auto" w:frame="1"/>
        </w:rPr>
        <w:t>What Code do I have to comply with?</w:t>
      </w:r>
    </w:p>
    <w:p w:rsidR="007F673B" w:rsidRPr="00B026B7" w:rsidRDefault="007F673B" w:rsidP="007F673B">
      <w:pPr>
        <w:spacing w:after="150" w:line="240" w:lineRule="auto"/>
        <w:rPr>
          <w:rFonts w:eastAsia="Times New Roman" w:cs="Times New Roman"/>
          <w:color w:val="000000"/>
          <w:sz w:val="20"/>
          <w:szCs w:val="20"/>
        </w:rPr>
      </w:pPr>
      <w:r w:rsidRPr="00B026B7">
        <w:rPr>
          <w:rFonts w:eastAsia="Times New Roman" w:cs="Times New Roman"/>
          <w:color w:val="000000"/>
          <w:sz w:val="20"/>
          <w:szCs w:val="20"/>
        </w:rPr>
        <w:t>If you have decided to move away from POTS lines and have been investigating using alternative communication for your Fire Alarm system, the best place to start is to check with your local Authority Having Jurisdiction (AHJ) to understand the local code requirements. Different jurisdictions commonly adopt various versions of NFPA 72 code. Understanding your local code requirements will help you select the correct technology to meet your local AHJ requirements and help you speed up the inspection process for your fire installation. It will also help you better meet your customer’s needs while helping them save on costs by providing them with the best technology for their installations.  Here is a closer look at the NFPA 72 codes that govern central station communication for fire alarm systems.</w:t>
      </w: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b/>
          <w:bCs/>
          <w:color w:val="000000"/>
          <w:sz w:val="20"/>
          <w:szCs w:val="20"/>
          <w:bdr w:val="none" w:sz="0" w:space="0" w:color="auto" w:frame="1"/>
        </w:rPr>
        <w:t>NFPA 72 version 2010 Basics</w:t>
      </w:r>
    </w:p>
    <w:p w:rsidR="007F673B" w:rsidRPr="00B026B7" w:rsidRDefault="007F673B" w:rsidP="007F673B">
      <w:pPr>
        <w:spacing w:after="150" w:line="240" w:lineRule="auto"/>
        <w:rPr>
          <w:rFonts w:eastAsia="Times New Roman" w:cs="Times New Roman"/>
          <w:color w:val="000000"/>
          <w:sz w:val="20"/>
          <w:szCs w:val="20"/>
        </w:rPr>
      </w:pPr>
      <w:r w:rsidRPr="00B026B7">
        <w:rPr>
          <w:rFonts w:eastAsia="Times New Roman" w:cs="Times New Roman"/>
          <w:color w:val="000000"/>
          <w:sz w:val="20"/>
          <w:szCs w:val="20"/>
        </w:rPr>
        <w:t>Chapter 26 of the NFPA 72 version 2010 standard helps define some of the communication methods for central station reporting that are acceptable. This is an important part of the POTS conversation because it specifies many of the alternative communication methods that can be used and are rapidly replacing POTS lines. It also clearly states that there is nothing in Chapter 26 of the 2010 standard that prohibits the use of alternative communications technology. Here are some of the highlights of the standard.</w:t>
      </w:r>
    </w:p>
    <w:p w:rsidR="007F673B" w:rsidRPr="00B026B7" w:rsidRDefault="007F673B" w:rsidP="007F673B">
      <w:pPr>
        <w:numPr>
          <w:ilvl w:val="0"/>
          <w:numId w:val="16"/>
        </w:numPr>
        <w:spacing w:after="0" w:line="240" w:lineRule="auto"/>
        <w:ind w:left="0"/>
        <w:rPr>
          <w:rFonts w:eastAsia="Times New Roman" w:cs="Times New Roman"/>
          <w:color w:val="000000"/>
        </w:rPr>
      </w:pPr>
      <w:r w:rsidRPr="00B026B7">
        <w:rPr>
          <w:rFonts w:eastAsia="Times New Roman" w:cs="Times New Roman"/>
          <w:color w:val="000000"/>
          <w:sz w:val="20"/>
          <w:szCs w:val="20"/>
          <w:bdr w:val="none" w:sz="0" w:space="0" w:color="auto" w:frame="1"/>
        </w:rPr>
        <w:t>​NFPA 72 does allow for the use of alternate communications technology, including cellular or IP, for central station reporting.</w:t>
      </w:r>
    </w:p>
    <w:p w:rsidR="007F673B" w:rsidRPr="00B026B7" w:rsidRDefault="007F673B" w:rsidP="007F673B">
      <w:pPr>
        <w:numPr>
          <w:ilvl w:val="0"/>
          <w:numId w:val="16"/>
        </w:numPr>
        <w:spacing w:after="0" w:line="240" w:lineRule="auto"/>
        <w:ind w:left="0"/>
        <w:rPr>
          <w:rFonts w:eastAsia="Times New Roman" w:cs="Times New Roman"/>
          <w:color w:val="000000"/>
        </w:rPr>
      </w:pPr>
      <w:r w:rsidRPr="00B026B7">
        <w:rPr>
          <w:rFonts w:eastAsia="Times New Roman" w:cs="Times New Roman"/>
          <w:color w:val="000000"/>
          <w:sz w:val="20"/>
          <w:szCs w:val="20"/>
          <w:bdr w:val="none" w:sz="0" w:space="0" w:color="auto" w:frame="1"/>
        </w:rPr>
        <w:t>The code requires that any alternate communication technology must provide a level of reliability and supervision consistent with the requirements listed in Chapter 10.</w:t>
      </w:r>
    </w:p>
    <w:p w:rsidR="007F673B" w:rsidRPr="00B026B7" w:rsidRDefault="007F673B" w:rsidP="007F673B">
      <w:pPr>
        <w:numPr>
          <w:ilvl w:val="0"/>
          <w:numId w:val="16"/>
        </w:numPr>
        <w:spacing w:after="0" w:line="240" w:lineRule="auto"/>
        <w:ind w:left="0"/>
        <w:rPr>
          <w:rFonts w:eastAsia="Times New Roman" w:cs="Times New Roman"/>
          <w:color w:val="000000"/>
        </w:rPr>
      </w:pPr>
      <w:r w:rsidRPr="00B026B7">
        <w:rPr>
          <w:rFonts w:eastAsia="Times New Roman" w:cs="Times New Roman"/>
          <w:color w:val="000000"/>
          <w:sz w:val="20"/>
          <w:szCs w:val="20"/>
          <w:bdr w:val="none" w:sz="0" w:space="0" w:color="auto" w:frame="1"/>
        </w:rPr>
        <w:t xml:space="preserve">When using a single communication technology, the central station must annunciate a trouble within </w:t>
      </w:r>
      <w:r w:rsidRPr="00B026B7">
        <w:rPr>
          <w:rFonts w:eastAsia="Times New Roman" w:cs="Times New Roman"/>
          <w:b/>
          <w:color w:val="C4243F"/>
          <w:sz w:val="20"/>
          <w:szCs w:val="20"/>
          <w:u w:val="single"/>
        </w:rPr>
        <w:t>5 minutes</w:t>
      </w:r>
      <w:r w:rsidRPr="00B026B7">
        <w:rPr>
          <w:rFonts w:eastAsia="Times New Roman" w:cs="Times New Roman"/>
          <w:color w:val="000000"/>
          <w:sz w:val="20"/>
          <w:szCs w:val="20"/>
          <w:bdr w:val="none" w:sz="0" w:space="0" w:color="auto" w:frame="1"/>
        </w:rPr>
        <w:t xml:space="preserve"> after loss of communication</w:t>
      </w:r>
    </w:p>
    <w:p w:rsidR="007F673B" w:rsidRPr="00B026B7" w:rsidRDefault="007F673B" w:rsidP="007F673B">
      <w:pPr>
        <w:numPr>
          <w:ilvl w:val="0"/>
          <w:numId w:val="16"/>
        </w:numPr>
        <w:spacing w:after="0" w:line="240" w:lineRule="auto"/>
        <w:ind w:left="0"/>
        <w:rPr>
          <w:rFonts w:eastAsia="Times New Roman" w:cs="Times New Roman"/>
          <w:color w:val="000000"/>
        </w:rPr>
      </w:pPr>
      <w:r w:rsidRPr="00B026B7">
        <w:rPr>
          <w:rFonts w:eastAsia="Times New Roman" w:cs="Times New Roman"/>
          <w:color w:val="000000"/>
          <w:sz w:val="20"/>
          <w:szCs w:val="20"/>
          <w:bdr w:val="none" w:sz="0" w:space="0" w:color="auto" w:frame="1"/>
        </w:rPr>
        <w:t xml:space="preserve">When using multiple communication technologies, the central station must annunciate a trouble within </w:t>
      </w:r>
      <w:r w:rsidRPr="00B026B7">
        <w:rPr>
          <w:rFonts w:eastAsia="Times New Roman" w:cs="Times New Roman"/>
          <w:b/>
          <w:color w:val="C4243F"/>
          <w:sz w:val="20"/>
          <w:szCs w:val="20"/>
          <w:u w:val="single"/>
        </w:rPr>
        <w:t>24 hours</w:t>
      </w:r>
      <w:r w:rsidRPr="00B026B7">
        <w:rPr>
          <w:rFonts w:eastAsia="Times New Roman" w:cs="Times New Roman"/>
          <w:color w:val="000000"/>
          <w:sz w:val="20"/>
          <w:szCs w:val="20"/>
          <w:u w:val="single"/>
        </w:rPr>
        <w:t xml:space="preserve"> </w:t>
      </w:r>
      <w:r w:rsidRPr="00B026B7">
        <w:rPr>
          <w:rFonts w:eastAsia="Times New Roman" w:cs="Times New Roman"/>
          <w:color w:val="000000"/>
          <w:sz w:val="20"/>
          <w:szCs w:val="20"/>
          <w:bdr w:val="none" w:sz="0" w:space="0" w:color="auto" w:frame="1"/>
        </w:rPr>
        <w:t>after a loss of communication.</w:t>
      </w:r>
    </w:p>
    <w:p w:rsidR="002727C3" w:rsidRDefault="002727C3" w:rsidP="007F673B">
      <w:pPr>
        <w:spacing w:after="0" w:line="240" w:lineRule="auto"/>
        <w:rPr>
          <w:rFonts w:eastAsia="Times New Roman" w:cs="Times New Roman"/>
          <w:color w:val="000000"/>
          <w:sz w:val="20"/>
          <w:szCs w:val="20"/>
        </w:rPr>
      </w:pP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color w:val="000000"/>
          <w:sz w:val="20"/>
          <w:szCs w:val="20"/>
        </w:rPr>
        <w:t>This is good news. NFPA 72 specifically allows for IP and/or cellular communication with central stations, and also ensures that our modern fire alarm systems still have the same level of reliability and supervision POTS has provided for four decades.</w:t>
      </w: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b/>
          <w:bCs/>
          <w:color w:val="000000"/>
          <w:sz w:val="20"/>
          <w:szCs w:val="20"/>
          <w:bdr w:val="none" w:sz="0" w:space="0" w:color="auto" w:frame="1"/>
        </w:rPr>
        <w:t>So what has changed for 2013?</w:t>
      </w:r>
    </w:p>
    <w:p w:rsidR="007F673B" w:rsidRPr="00B026B7" w:rsidRDefault="007F673B" w:rsidP="007F673B">
      <w:pPr>
        <w:spacing w:after="150" w:line="240" w:lineRule="auto"/>
        <w:rPr>
          <w:rFonts w:eastAsia="Times New Roman" w:cs="Times New Roman"/>
          <w:color w:val="000000"/>
          <w:sz w:val="20"/>
          <w:szCs w:val="20"/>
        </w:rPr>
      </w:pPr>
      <w:r w:rsidRPr="00B026B7">
        <w:rPr>
          <w:rFonts w:eastAsia="Times New Roman" w:cs="Times New Roman"/>
          <w:color w:val="000000"/>
          <w:sz w:val="20"/>
          <w:szCs w:val="20"/>
        </w:rPr>
        <w:t>The NFPA 72 code was updated in 2013 and impacts the use of POTS lines in a fire alarm installation, as well as the supervision requirements for single or multiple path technologies.</w:t>
      </w:r>
    </w:p>
    <w:p w:rsidR="00A8029D" w:rsidRDefault="007F673B" w:rsidP="007F673B">
      <w:pPr>
        <w:spacing w:after="150" w:line="240" w:lineRule="auto"/>
        <w:rPr>
          <w:rFonts w:eastAsia="Times New Roman" w:cs="Times New Roman"/>
          <w:color w:val="000000"/>
          <w:sz w:val="20"/>
          <w:szCs w:val="20"/>
        </w:rPr>
      </w:pPr>
      <w:r w:rsidRPr="00B026B7">
        <w:rPr>
          <w:rFonts w:eastAsia="Times New Roman" w:cs="Times New Roman"/>
          <w:color w:val="000000"/>
          <w:sz w:val="20"/>
          <w:szCs w:val="20"/>
        </w:rPr>
        <w:t xml:space="preserve">The 2013 version of NFPA 72 code includes some changes that will impact the primary and secondary POTS lines in an installation. </w:t>
      </w:r>
    </w:p>
    <w:p w:rsidR="007F673B" w:rsidRPr="00B026B7" w:rsidRDefault="007F673B" w:rsidP="007F673B">
      <w:pPr>
        <w:spacing w:after="150" w:line="240" w:lineRule="auto"/>
        <w:rPr>
          <w:rFonts w:eastAsia="Times New Roman" w:cs="Times New Roman"/>
          <w:color w:val="000000"/>
          <w:sz w:val="20"/>
          <w:szCs w:val="20"/>
        </w:rPr>
      </w:pPr>
      <w:r w:rsidRPr="00B026B7">
        <w:rPr>
          <w:rFonts w:eastAsia="Times New Roman" w:cs="Times New Roman"/>
          <w:b/>
          <w:color w:val="000000"/>
          <w:sz w:val="20"/>
          <w:szCs w:val="20"/>
        </w:rPr>
        <w:t xml:space="preserve">If you have a primary POTS connection, and you’re under 2013 jurisdiction, </w:t>
      </w:r>
      <w:r w:rsidRPr="00B026B7">
        <w:rPr>
          <w:rFonts w:eastAsia="Times New Roman" w:cs="Times New Roman"/>
          <w:b/>
          <w:color w:val="000000"/>
          <w:sz w:val="20"/>
          <w:szCs w:val="20"/>
          <w:u w:val="single"/>
        </w:rPr>
        <w:t>you’re now required by the code to seek out alternative communication methods as a backup to the POTS Lines</w:t>
      </w:r>
      <w:r w:rsidRPr="00B026B7">
        <w:rPr>
          <w:rFonts w:eastAsia="Times New Roman" w:cs="Times New Roman"/>
          <w:color w:val="000000"/>
          <w:sz w:val="20"/>
          <w:szCs w:val="20"/>
        </w:rPr>
        <w:t xml:space="preserve">. This could be a one-way private radio alarm system, a two-way RF multiplex system or any transmission means that comply with NPFA 72 version 2013, such as IP and cellular. </w:t>
      </w:r>
      <w:r w:rsidRPr="00B026B7">
        <w:rPr>
          <w:rFonts w:eastAsia="Times New Roman" w:cs="Times New Roman"/>
          <w:b/>
          <w:color w:val="C4243F"/>
          <w:sz w:val="20"/>
          <w:szCs w:val="20"/>
        </w:rPr>
        <w:t>A secondary POTS line is not permitted for multi-path communications unless there is no cellular, IP or radio available in the area</w:t>
      </w:r>
      <w:r w:rsidRPr="00B026B7">
        <w:rPr>
          <w:rFonts w:eastAsia="Times New Roman" w:cs="Times New Roman"/>
          <w:color w:val="000000"/>
          <w:sz w:val="20"/>
          <w:szCs w:val="20"/>
        </w:rPr>
        <w:t>. In addition, you will find that some of the supervision requirements have been changed in version 2013 of the code. Here’s a summary of those changes.</w:t>
      </w:r>
    </w:p>
    <w:p w:rsidR="007F673B" w:rsidRPr="00B026B7" w:rsidRDefault="007F673B" w:rsidP="007F673B">
      <w:pPr>
        <w:numPr>
          <w:ilvl w:val="0"/>
          <w:numId w:val="17"/>
        </w:numPr>
        <w:spacing w:after="0" w:line="240" w:lineRule="auto"/>
        <w:ind w:left="0"/>
        <w:rPr>
          <w:rFonts w:eastAsia="Times New Roman" w:cs="Times New Roman"/>
          <w:color w:val="000000"/>
        </w:rPr>
      </w:pPr>
      <w:r w:rsidRPr="00B026B7">
        <w:rPr>
          <w:rFonts w:eastAsia="Times New Roman" w:cs="Times New Roman"/>
          <w:color w:val="000000"/>
          <w:sz w:val="20"/>
          <w:szCs w:val="20"/>
          <w:bdr w:val="none" w:sz="0" w:space="0" w:color="auto" w:frame="1"/>
        </w:rPr>
        <w:lastRenderedPageBreak/>
        <w:t xml:space="preserve">​When using a single communication technology, the central station must annunciate a trouble within </w:t>
      </w:r>
      <w:r w:rsidRPr="00B026B7">
        <w:rPr>
          <w:rFonts w:eastAsia="Times New Roman" w:cs="Times New Roman"/>
          <w:color w:val="000000"/>
          <w:sz w:val="20"/>
          <w:szCs w:val="20"/>
          <w:u w:val="single"/>
        </w:rPr>
        <w:t>60 minutes</w:t>
      </w:r>
      <w:r w:rsidRPr="00B026B7">
        <w:rPr>
          <w:rFonts w:eastAsia="Times New Roman" w:cs="Times New Roman"/>
          <w:color w:val="000000"/>
          <w:sz w:val="20"/>
          <w:szCs w:val="20"/>
          <w:bdr w:val="none" w:sz="0" w:space="0" w:color="auto" w:frame="1"/>
        </w:rPr>
        <w:t xml:space="preserve"> after loss of communication</w:t>
      </w:r>
    </w:p>
    <w:p w:rsidR="007F673B" w:rsidRPr="00B026B7" w:rsidRDefault="007F673B" w:rsidP="007F673B">
      <w:pPr>
        <w:numPr>
          <w:ilvl w:val="0"/>
          <w:numId w:val="17"/>
        </w:numPr>
        <w:spacing w:after="0" w:line="240" w:lineRule="auto"/>
        <w:ind w:left="0"/>
        <w:rPr>
          <w:rFonts w:eastAsia="Times New Roman" w:cs="Times New Roman"/>
          <w:color w:val="000000"/>
        </w:rPr>
      </w:pPr>
      <w:r w:rsidRPr="00B026B7">
        <w:rPr>
          <w:rFonts w:eastAsia="Times New Roman" w:cs="Times New Roman"/>
          <w:color w:val="000000"/>
          <w:sz w:val="20"/>
          <w:szCs w:val="20"/>
          <w:bdr w:val="none" w:sz="0" w:space="0" w:color="auto" w:frame="1"/>
        </w:rPr>
        <w:t xml:space="preserve">When using multiple communication technologies, the central station must annunciate a trouble within </w:t>
      </w:r>
      <w:r w:rsidRPr="00B026B7">
        <w:rPr>
          <w:rFonts w:eastAsia="Times New Roman" w:cs="Times New Roman"/>
          <w:color w:val="000000"/>
          <w:sz w:val="20"/>
          <w:szCs w:val="20"/>
          <w:u w:val="single"/>
        </w:rPr>
        <w:t xml:space="preserve">6 hours </w:t>
      </w:r>
      <w:r w:rsidRPr="00B026B7">
        <w:rPr>
          <w:rFonts w:eastAsia="Times New Roman" w:cs="Times New Roman"/>
          <w:color w:val="000000"/>
          <w:sz w:val="20"/>
          <w:szCs w:val="20"/>
          <w:bdr w:val="none" w:sz="0" w:space="0" w:color="auto" w:frame="1"/>
        </w:rPr>
        <w:t>after loss of communication.</w:t>
      </w:r>
    </w:p>
    <w:p w:rsidR="007F673B" w:rsidRPr="00B026B7" w:rsidRDefault="007F673B" w:rsidP="007F673B">
      <w:pPr>
        <w:spacing w:after="0" w:line="240" w:lineRule="auto"/>
        <w:rPr>
          <w:rFonts w:eastAsia="Times New Roman" w:cs="Times New Roman"/>
          <w:color w:val="000000"/>
        </w:rPr>
      </w:pPr>
      <w:r w:rsidRPr="00B026B7">
        <w:rPr>
          <w:rFonts w:eastAsia="Times New Roman" w:cs="Times New Roman"/>
          <w:color w:val="000000"/>
          <w:bdr w:val="none" w:sz="0" w:space="0" w:color="auto" w:frame="1"/>
        </w:rPr>
        <w:t> </w:t>
      </w:r>
    </w:p>
    <w:p w:rsidR="007F673B" w:rsidRPr="00B026B7" w:rsidRDefault="001C0A41" w:rsidP="007F673B">
      <w:pPr>
        <w:spacing w:after="0" w:line="240" w:lineRule="auto"/>
        <w:rPr>
          <w:rFonts w:eastAsia="Times New Roman" w:cs="Times New Roman"/>
          <w:color w:val="000000"/>
          <w:sz w:val="20"/>
          <w:szCs w:val="20"/>
        </w:rPr>
      </w:pPr>
      <w:hyperlink r:id="rId10" w:history="1">
        <w:r w:rsidR="007F673B" w:rsidRPr="00B026B7">
          <w:rPr>
            <w:rFonts w:eastAsia="Times New Roman" w:cs="Times New Roman"/>
            <w:color w:val="333333"/>
            <w:sz w:val="20"/>
            <w:szCs w:val="20"/>
            <w:bdr w:val="none" w:sz="0" w:space="0" w:color="auto" w:frame="1"/>
          </w:rPr>
          <w:t>Ken Gentile</w:t>
        </w:r>
      </w:hyperlink>
      <w:r w:rsidR="007F673B" w:rsidRPr="00B026B7">
        <w:rPr>
          <w:rFonts w:eastAsia="Times New Roman" w:cs="Times New Roman"/>
          <w:color w:val="000000"/>
          <w:sz w:val="20"/>
          <w:szCs w:val="20"/>
          <w:bdr w:val="none" w:sz="0" w:space="0" w:color="auto" w:frame="1"/>
        </w:rPr>
        <w:t xml:space="preserve"> is a Product Manager for Fire-Lite Alarms and Honeywell Power. Using his more than 15 years of marketing and engineering experience, Ken’s primary focus lies in the development of new products.</w:t>
      </w:r>
    </w:p>
    <w:p w:rsidR="007F673B" w:rsidRPr="00B026B7" w:rsidRDefault="007F673B" w:rsidP="007F673B">
      <w:pPr>
        <w:spacing w:after="0" w:line="240" w:lineRule="auto"/>
        <w:rPr>
          <w:rFonts w:eastAsia="Times New Roman" w:cs="Times New Roman"/>
          <w:color w:val="000000"/>
          <w:sz w:val="20"/>
          <w:szCs w:val="20"/>
        </w:rPr>
      </w:pPr>
      <w:r w:rsidRPr="00B026B7">
        <w:rPr>
          <w:rFonts w:eastAsia="Times New Roman" w:cs="Times New Roman"/>
          <w:color w:val="000000"/>
          <w:sz w:val="20"/>
          <w:szCs w:val="20"/>
        </w:rPr>
        <w:t> </w:t>
      </w:r>
    </w:p>
    <w:p w:rsidR="007F673B" w:rsidRPr="00B026B7" w:rsidRDefault="007F673B" w:rsidP="007F673B">
      <w:pPr>
        <w:spacing w:after="0" w:line="240" w:lineRule="auto"/>
        <w:rPr>
          <w:rFonts w:eastAsia="Times New Roman" w:cs="Times New Roman"/>
          <w:color w:val="999999"/>
          <w:sz w:val="20"/>
          <w:szCs w:val="20"/>
        </w:rPr>
      </w:pPr>
      <w:r w:rsidRPr="00B026B7">
        <w:rPr>
          <w:rFonts w:eastAsia="Times New Roman" w:cs="Times New Roman"/>
          <w:color w:val="999999"/>
          <w:sz w:val="20"/>
          <w:szCs w:val="20"/>
        </w:rPr>
        <w:t>Published</w:t>
      </w:r>
      <w:proofErr w:type="gramStart"/>
      <w:r w:rsidRPr="00B026B7">
        <w:rPr>
          <w:rFonts w:eastAsia="Times New Roman" w:cs="Times New Roman"/>
          <w:color w:val="999999"/>
          <w:sz w:val="20"/>
          <w:szCs w:val="20"/>
        </w:rPr>
        <w:t>  on</w:t>
      </w:r>
      <w:proofErr w:type="gramEnd"/>
      <w:r w:rsidRPr="00B026B7">
        <w:rPr>
          <w:rFonts w:eastAsia="Times New Roman" w:cs="Times New Roman"/>
          <w:color w:val="999999"/>
          <w:sz w:val="20"/>
          <w:szCs w:val="20"/>
        </w:rPr>
        <w:t xml:space="preserve">  7/10/2014  by  Honeywell </w:t>
      </w:r>
      <w:r w:rsidR="00CF02B1" w:rsidRPr="00B026B7">
        <w:rPr>
          <w:rFonts w:eastAsia="Times New Roman" w:cs="Times New Roman"/>
          <w:color w:val="A6A6A6" w:themeColor="background1" w:themeShade="A6"/>
          <w:kern w:val="36"/>
          <w:sz w:val="20"/>
          <w:szCs w:val="20"/>
        </w:rPr>
        <w:t>Ken Gentile</w:t>
      </w:r>
      <w:r w:rsidR="00CF02B1" w:rsidRPr="00B026B7">
        <w:rPr>
          <w:rFonts w:eastAsia="Times New Roman" w:cs="Times New Roman"/>
          <w:color w:val="C4243F"/>
          <w:kern w:val="36"/>
          <w:sz w:val="41"/>
          <w:szCs w:val="41"/>
        </w:rPr>
        <w:t>   </w:t>
      </w:r>
    </w:p>
    <w:p w:rsidR="007F673B" w:rsidRDefault="007F673B" w:rsidP="007F673B">
      <w:pPr>
        <w:spacing w:line="240" w:lineRule="auto"/>
        <w:rPr>
          <w:rFonts w:cs="Times New Roman"/>
        </w:rPr>
      </w:pPr>
    </w:p>
    <w:p w:rsidR="00470F77" w:rsidRPr="00470F77" w:rsidRDefault="00470F77" w:rsidP="007F673B">
      <w:pPr>
        <w:spacing w:line="240" w:lineRule="auto"/>
        <w:rPr>
          <w:rFonts w:cs="Times New Roman"/>
          <w:b/>
        </w:rPr>
      </w:pPr>
      <w:r w:rsidRPr="00470F77">
        <w:rPr>
          <w:rFonts w:cs="Times New Roman"/>
          <w:b/>
        </w:rPr>
        <w:t>From NFPA 72</w:t>
      </w:r>
      <w:r w:rsidR="001C0A41">
        <w:rPr>
          <w:rFonts w:cs="Times New Roman"/>
          <w:b/>
        </w:rPr>
        <w:t xml:space="preserve"> (2016)</w:t>
      </w:r>
      <w:bookmarkStart w:id="0" w:name="_GoBack"/>
      <w:bookmarkEnd w:id="0"/>
      <w:r w:rsidRPr="00470F77">
        <w:rPr>
          <w:rFonts w:cs="Times New Roman"/>
          <w:b/>
        </w:rPr>
        <w:t>:</w:t>
      </w:r>
    </w:p>
    <w:p w:rsidR="00470F77" w:rsidRPr="00B026B7" w:rsidRDefault="00470F77" w:rsidP="007F673B">
      <w:pPr>
        <w:spacing w:line="240" w:lineRule="auto"/>
        <w:rPr>
          <w:rFonts w:cs="Times New Roman"/>
        </w:rPr>
      </w:pPr>
      <w:r>
        <w:rPr>
          <w:noProof/>
        </w:rPr>
        <w:drawing>
          <wp:inline distT="0" distB="0" distL="0" distR="0" wp14:anchorId="59E49841" wp14:editId="0E75FB0C">
            <wp:extent cx="5943600" cy="3036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036570"/>
                    </a:xfrm>
                    <a:prstGeom prst="rect">
                      <a:avLst/>
                    </a:prstGeom>
                  </pic:spPr>
                </pic:pic>
              </a:graphicData>
            </a:graphic>
          </wp:inline>
        </w:drawing>
      </w:r>
    </w:p>
    <w:p w:rsidR="00723E42" w:rsidRPr="00AE0E79" w:rsidRDefault="00723E42" w:rsidP="00AE0E79"/>
    <w:sectPr w:rsidR="00723E42" w:rsidRPr="00AE0E79" w:rsidSect="0045742B">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C3" w:rsidRDefault="001E5BC3" w:rsidP="003B4BC3">
      <w:pPr>
        <w:spacing w:after="0" w:line="240" w:lineRule="auto"/>
      </w:pPr>
      <w:r>
        <w:separator/>
      </w:r>
    </w:p>
  </w:endnote>
  <w:endnote w:type="continuationSeparator" w:id="0">
    <w:p w:rsidR="001E5BC3" w:rsidRDefault="001E5BC3" w:rsidP="003B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3662"/>
      <w:gridCol w:w="3633"/>
    </w:tblGrid>
    <w:tr w:rsidR="00EC6156" w:rsidRPr="00C401B0" w:rsidTr="00EC6156">
      <w:trPr>
        <w:trHeight w:val="84"/>
      </w:trPr>
      <w:tc>
        <w:tcPr>
          <w:tcW w:w="1689" w:type="pct"/>
          <w:vAlign w:val="bottom"/>
        </w:tcPr>
        <w:p w:rsidR="00EC6156" w:rsidRPr="00C401B0" w:rsidRDefault="001C0A41" w:rsidP="00122663">
          <w:pPr>
            <w:pStyle w:val="Footer"/>
            <w:rPr>
              <w:b/>
              <w:sz w:val="12"/>
              <w:szCs w:val="12"/>
            </w:rPr>
          </w:pPr>
          <w:r>
            <w:rPr>
              <w:noProof/>
              <w:sz w:val="12"/>
              <w:szCs w:val="12"/>
            </w:rPr>
            <w:pict>
              <v:shapetype id="_x0000_t32" coordsize="21600,21600" o:spt="32" o:oned="t" path="m,l21600,21600e" filled="f">
                <v:path arrowok="t" fillok="f" o:connecttype="none"/>
                <o:lock v:ext="edit" shapetype="t"/>
              </v:shapetype>
              <v:shape id="_x0000_s2053" type="#_x0000_t32" style="position:absolute;margin-left:-2.75pt;margin-top:-.35pt;width:546.95pt;height:.05pt;z-index:251662336" o:connectortype="straight"/>
            </w:pict>
          </w:r>
          <w:r>
            <w:fldChar w:fldCharType="begin"/>
          </w:r>
          <w:r>
            <w:instrText xml:space="preserve"> AUTHOR  \* FirstCap  \* MERGEFORMAT </w:instrText>
          </w:r>
          <w:r>
            <w:fldChar w:fldCharType="separate"/>
          </w:r>
          <w:r w:rsidR="00EC6156" w:rsidRPr="00C401B0">
            <w:rPr>
              <w:b/>
              <w:noProof/>
              <w:sz w:val="12"/>
              <w:szCs w:val="12"/>
            </w:rPr>
            <w:t>Arun</w:t>
          </w:r>
          <w:r>
            <w:rPr>
              <w:b/>
              <w:noProof/>
              <w:sz w:val="12"/>
              <w:szCs w:val="12"/>
            </w:rPr>
            <w:fldChar w:fldCharType="end"/>
          </w:r>
          <w:r w:rsidR="00EC6156" w:rsidRPr="00C401B0">
            <w:rPr>
              <w:b/>
              <w:sz w:val="12"/>
              <w:szCs w:val="12"/>
            </w:rPr>
            <w:t xml:space="preserve"> </w:t>
          </w:r>
        </w:p>
      </w:tc>
      <w:tc>
        <w:tcPr>
          <w:tcW w:w="1662" w:type="pct"/>
          <w:vAlign w:val="bottom"/>
        </w:tcPr>
        <w:p w:rsidR="00EC6156" w:rsidRPr="00C401B0" w:rsidRDefault="00EC6156" w:rsidP="00122663">
          <w:pPr>
            <w:pStyle w:val="Footer"/>
            <w:jc w:val="center"/>
            <w:rPr>
              <w:rFonts w:eastAsiaTheme="minorEastAsia"/>
              <w:bCs/>
              <w:noProof/>
              <w:sz w:val="12"/>
              <w:szCs w:val="12"/>
            </w:rPr>
          </w:pPr>
          <w:r w:rsidRPr="00C401B0">
            <w:rPr>
              <w:rFonts w:eastAsiaTheme="minorEastAsia"/>
              <w:noProof/>
              <w:sz w:val="12"/>
              <w:szCs w:val="12"/>
            </w:rPr>
            <w:t xml:space="preserve">Issued:: </w:t>
          </w:r>
          <w:r w:rsidR="00A9147D" w:rsidRPr="00C401B0">
            <w:rPr>
              <w:rFonts w:eastAsiaTheme="minorEastAsia"/>
              <w:noProof/>
              <w:sz w:val="12"/>
              <w:szCs w:val="12"/>
            </w:rPr>
            <w:fldChar w:fldCharType="begin"/>
          </w:r>
          <w:r w:rsidRPr="00C401B0">
            <w:rPr>
              <w:rFonts w:eastAsiaTheme="minorEastAsia"/>
              <w:noProof/>
              <w:sz w:val="12"/>
              <w:szCs w:val="12"/>
            </w:rPr>
            <w:instrText xml:space="preserve"> DATE  \@ "yyyy-MM-dd"  \* MERGEFORMAT </w:instrText>
          </w:r>
          <w:r w:rsidR="00A9147D" w:rsidRPr="00C401B0">
            <w:rPr>
              <w:rFonts w:eastAsiaTheme="minorEastAsia"/>
              <w:noProof/>
              <w:sz w:val="12"/>
              <w:szCs w:val="12"/>
            </w:rPr>
            <w:fldChar w:fldCharType="separate"/>
          </w:r>
          <w:r w:rsidR="00470F77">
            <w:rPr>
              <w:rFonts w:eastAsiaTheme="minorEastAsia"/>
              <w:noProof/>
              <w:sz w:val="12"/>
              <w:szCs w:val="12"/>
            </w:rPr>
            <w:t>2019-10-07</w:t>
          </w:r>
          <w:r w:rsidR="00A9147D" w:rsidRPr="00C401B0">
            <w:rPr>
              <w:rFonts w:eastAsiaTheme="minorEastAsia"/>
              <w:noProof/>
              <w:sz w:val="12"/>
              <w:szCs w:val="12"/>
            </w:rPr>
            <w:fldChar w:fldCharType="end"/>
          </w:r>
        </w:p>
      </w:tc>
      <w:tc>
        <w:tcPr>
          <w:tcW w:w="1649" w:type="pct"/>
          <w:vAlign w:val="bottom"/>
        </w:tcPr>
        <w:p w:rsidR="00EC6156" w:rsidRPr="00C401B0" w:rsidRDefault="00EC6156" w:rsidP="00122663">
          <w:pPr>
            <w:pStyle w:val="Footer"/>
            <w:jc w:val="right"/>
            <w:rPr>
              <w:rFonts w:eastAsiaTheme="minorEastAsia"/>
              <w:bCs/>
              <w:noProof/>
              <w:sz w:val="12"/>
              <w:szCs w:val="12"/>
            </w:rPr>
          </w:pPr>
        </w:p>
      </w:tc>
    </w:tr>
    <w:tr w:rsidR="00EC6156" w:rsidRPr="00C401B0" w:rsidTr="00EC6156">
      <w:tc>
        <w:tcPr>
          <w:tcW w:w="1689" w:type="pct"/>
          <w:vAlign w:val="bottom"/>
        </w:tcPr>
        <w:p w:rsidR="00EC6156" w:rsidRPr="00C401B0" w:rsidRDefault="00EC6156" w:rsidP="00122663">
          <w:pPr>
            <w:pStyle w:val="Footer"/>
            <w:rPr>
              <w:rFonts w:eastAsiaTheme="minorEastAsia"/>
              <w:noProof/>
              <w:sz w:val="12"/>
              <w:szCs w:val="12"/>
            </w:rPr>
          </w:pPr>
          <w:r w:rsidRPr="00C401B0">
            <w:rPr>
              <w:rFonts w:eastAsiaTheme="minorEastAsia"/>
              <w:noProof/>
              <w:sz w:val="12"/>
              <w:szCs w:val="12"/>
            </w:rPr>
            <w:t>Projects &amp; Compliance</w:t>
          </w:r>
        </w:p>
      </w:tc>
      <w:tc>
        <w:tcPr>
          <w:tcW w:w="1662" w:type="pct"/>
          <w:vAlign w:val="bottom"/>
        </w:tcPr>
        <w:p w:rsidR="00EC6156" w:rsidRPr="00C401B0" w:rsidRDefault="00EC6156" w:rsidP="00122663">
          <w:pPr>
            <w:pStyle w:val="Footer"/>
            <w:jc w:val="center"/>
            <w:rPr>
              <w:rFonts w:eastAsiaTheme="minorEastAsia"/>
              <w:noProof/>
              <w:sz w:val="12"/>
              <w:szCs w:val="12"/>
            </w:rPr>
          </w:pPr>
          <w:r w:rsidRPr="00C401B0">
            <w:rPr>
              <w:rFonts w:eastAsiaTheme="minorEastAsia"/>
              <w:noProof/>
              <w:sz w:val="12"/>
              <w:szCs w:val="12"/>
            </w:rPr>
            <w:t>Doc ver: 2013-01-21</w:t>
          </w:r>
        </w:p>
      </w:tc>
      <w:tc>
        <w:tcPr>
          <w:tcW w:w="1649" w:type="pct"/>
        </w:tcPr>
        <w:p w:rsidR="00EC6156" w:rsidRPr="00C401B0" w:rsidRDefault="00EC6156" w:rsidP="00122663">
          <w:pPr>
            <w:pStyle w:val="Footer"/>
            <w:jc w:val="right"/>
            <w:rPr>
              <w:rFonts w:eastAsiaTheme="minorEastAsia"/>
              <w:bCs/>
              <w:noProof/>
              <w:sz w:val="12"/>
              <w:szCs w:val="12"/>
            </w:rPr>
          </w:pPr>
          <w:r w:rsidRPr="00C401B0">
            <w:rPr>
              <w:rFonts w:eastAsiaTheme="minorEastAsia"/>
              <w:bCs/>
              <w:noProof/>
              <w:sz w:val="12"/>
              <w:szCs w:val="12"/>
            </w:rPr>
            <w:t xml:space="preserve">Page </w:t>
          </w:r>
          <w:r w:rsidR="00A9147D" w:rsidRPr="00C401B0">
            <w:rPr>
              <w:rFonts w:eastAsiaTheme="minorEastAsia"/>
              <w:bCs/>
              <w:noProof/>
              <w:sz w:val="12"/>
              <w:szCs w:val="12"/>
            </w:rPr>
            <w:fldChar w:fldCharType="begin"/>
          </w:r>
          <w:r w:rsidRPr="00C401B0">
            <w:rPr>
              <w:rFonts w:eastAsiaTheme="minorEastAsia"/>
              <w:bCs/>
              <w:noProof/>
              <w:sz w:val="12"/>
              <w:szCs w:val="12"/>
            </w:rPr>
            <w:instrText xml:space="preserve"> PAGE  \* Arabic  \* MERGEFORMAT </w:instrText>
          </w:r>
          <w:r w:rsidR="00A9147D" w:rsidRPr="00C401B0">
            <w:rPr>
              <w:rFonts w:eastAsiaTheme="minorEastAsia"/>
              <w:bCs/>
              <w:noProof/>
              <w:sz w:val="12"/>
              <w:szCs w:val="12"/>
            </w:rPr>
            <w:fldChar w:fldCharType="separate"/>
          </w:r>
          <w:r w:rsidR="001C0A41">
            <w:rPr>
              <w:rFonts w:eastAsiaTheme="minorEastAsia"/>
              <w:bCs/>
              <w:noProof/>
              <w:sz w:val="12"/>
              <w:szCs w:val="12"/>
            </w:rPr>
            <w:t>2</w:t>
          </w:r>
          <w:r w:rsidR="00A9147D" w:rsidRPr="00C401B0">
            <w:rPr>
              <w:rFonts w:eastAsiaTheme="minorEastAsia"/>
              <w:bCs/>
              <w:noProof/>
              <w:sz w:val="12"/>
              <w:szCs w:val="12"/>
            </w:rPr>
            <w:fldChar w:fldCharType="end"/>
          </w:r>
          <w:r w:rsidRPr="00C401B0">
            <w:rPr>
              <w:rFonts w:eastAsiaTheme="minorEastAsia"/>
              <w:bCs/>
              <w:noProof/>
              <w:sz w:val="12"/>
              <w:szCs w:val="12"/>
            </w:rPr>
            <w:t xml:space="preserve">of </w:t>
          </w:r>
          <w:r w:rsidR="001C0A41">
            <w:fldChar w:fldCharType="begin"/>
          </w:r>
          <w:r w:rsidR="001C0A41">
            <w:instrText xml:space="preserve"> SECTIONPAGES  \* Arabic  \* MERGEFORMAT </w:instrText>
          </w:r>
          <w:r w:rsidR="001C0A41">
            <w:fldChar w:fldCharType="separate"/>
          </w:r>
          <w:r w:rsidR="001C0A41" w:rsidRPr="001C0A41">
            <w:rPr>
              <w:rFonts w:eastAsiaTheme="minorEastAsia"/>
              <w:bCs/>
              <w:noProof/>
              <w:sz w:val="12"/>
              <w:szCs w:val="12"/>
            </w:rPr>
            <w:t>2</w:t>
          </w:r>
          <w:r w:rsidR="001C0A41">
            <w:rPr>
              <w:rFonts w:eastAsiaTheme="minorEastAsia"/>
              <w:bCs/>
              <w:noProof/>
              <w:sz w:val="12"/>
              <w:szCs w:val="12"/>
            </w:rPr>
            <w:fldChar w:fldCharType="end"/>
          </w:r>
        </w:p>
      </w:tc>
    </w:tr>
  </w:tbl>
  <w:p w:rsidR="001E5BC3" w:rsidRPr="0039510C" w:rsidRDefault="001E5BC3" w:rsidP="00EC6156">
    <w:pPr>
      <w:pStyle w:val="Footer"/>
      <w:rPr>
        <w:rFonts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C3" w:rsidRDefault="001E5BC3" w:rsidP="003B4BC3">
      <w:pPr>
        <w:spacing w:after="0" w:line="240" w:lineRule="auto"/>
      </w:pPr>
      <w:r>
        <w:separator/>
      </w:r>
    </w:p>
  </w:footnote>
  <w:footnote w:type="continuationSeparator" w:id="0">
    <w:p w:rsidR="001E5BC3" w:rsidRDefault="001E5BC3" w:rsidP="003B4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1E5BC3" w:rsidRPr="00B946CE" w:rsidTr="002C69BF">
      <w:trPr>
        <w:trHeight w:val="347"/>
      </w:trPr>
      <w:tc>
        <w:tcPr>
          <w:tcW w:w="3672" w:type="dxa"/>
          <w:vMerge w:val="restart"/>
        </w:tcPr>
        <w:p w:rsidR="001E5BC3" w:rsidRPr="00B946CE" w:rsidRDefault="001E5BC3">
          <w:pPr>
            <w:pStyle w:val="Header"/>
            <w:rPr>
              <w:sz w:val="12"/>
              <w:szCs w:val="12"/>
            </w:rPr>
          </w:pPr>
          <w:r w:rsidRPr="00B946CE">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1E5BC3" w:rsidRDefault="001E5BC3">
          <w:pPr>
            <w:pStyle w:val="Header"/>
            <w:rPr>
              <w:rFonts w:cs="Times New Roman"/>
              <w:b/>
              <w:color w:val="FF0000"/>
              <w:sz w:val="12"/>
              <w:szCs w:val="12"/>
            </w:rPr>
          </w:pPr>
          <w:r w:rsidRPr="00B946CE">
            <w:rPr>
              <w:rFonts w:cs="Times New Roman"/>
              <w:b/>
              <w:color w:val="FF0000"/>
              <w:sz w:val="12"/>
              <w:szCs w:val="12"/>
            </w:rPr>
            <w:t>Fire Suppression Services Incorporated</w:t>
          </w:r>
        </w:p>
        <w:p w:rsidR="001E5BC3" w:rsidRPr="00B946CE" w:rsidRDefault="001E5BC3" w:rsidP="00DE43F9">
          <w:pPr>
            <w:pStyle w:val="Header"/>
            <w:rPr>
              <w:sz w:val="12"/>
              <w:szCs w:val="12"/>
            </w:rPr>
          </w:pPr>
          <w:r w:rsidRPr="00B946CE">
            <w:rPr>
              <w:rFonts w:cs="Times New Roman"/>
              <w:sz w:val="12"/>
              <w:szCs w:val="12"/>
            </w:rPr>
            <w:t xml:space="preserve">3802 South 2300 East, </w:t>
          </w:r>
          <w:r w:rsidR="00DE43F9">
            <w:rPr>
              <w:rFonts w:cs="Times New Roman"/>
              <w:sz w:val="12"/>
              <w:szCs w:val="12"/>
            </w:rPr>
            <w:t>Millcreek</w:t>
          </w:r>
          <w:r w:rsidRPr="00B946CE">
            <w:rPr>
              <w:rFonts w:cs="Times New Roman"/>
              <w:sz w:val="12"/>
              <w:szCs w:val="12"/>
            </w:rPr>
            <w:t>. UT 84109. Ph (801) 277-6464</w:t>
          </w:r>
        </w:p>
      </w:tc>
      <w:tc>
        <w:tcPr>
          <w:tcW w:w="3672" w:type="dxa"/>
        </w:tcPr>
        <w:p w:rsidR="001E5BC3" w:rsidRPr="004855BA" w:rsidRDefault="007F673B" w:rsidP="00AF6A2F">
          <w:pPr>
            <w:pStyle w:val="Header"/>
            <w:jc w:val="center"/>
            <w:rPr>
              <w:rFonts w:cs="Times New Roman"/>
              <w:b/>
            </w:rPr>
          </w:pPr>
          <w:r>
            <w:rPr>
              <w:rFonts w:cs="Times New Roman"/>
              <w:b/>
            </w:rPr>
            <w:t xml:space="preserve">Central Station </w:t>
          </w:r>
          <w:proofErr w:type="spellStart"/>
          <w:r>
            <w:rPr>
              <w:rFonts w:cs="Times New Roman"/>
              <w:b/>
            </w:rPr>
            <w:t>Comms</w:t>
          </w:r>
          <w:proofErr w:type="spellEnd"/>
        </w:p>
      </w:tc>
      <w:tc>
        <w:tcPr>
          <w:tcW w:w="3672" w:type="dxa"/>
        </w:tcPr>
        <w:p w:rsidR="001E5BC3" w:rsidRPr="005E02E9" w:rsidRDefault="000E055C" w:rsidP="00A67025">
          <w:pPr>
            <w:pStyle w:val="Header"/>
            <w:jc w:val="right"/>
            <w:rPr>
              <w:b/>
              <w:color w:val="365F91" w:themeColor="accent1" w:themeShade="BF"/>
            </w:rPr>
          </w:pPr>
          <w:r>
            <w:rPr>
              <w:rFonts w:cs="Times New Roman"/>
              <w:b/>
              <w:color w:val="365F91" w:themeColor="accent1" w:themeShade="BF"/>
            </w:rPr>
            <w:t>ED</w:t>
          </w:r>
        </w:p>
      </w:tc>
    </w:tr>
    <w:tr w:rsidR="001E5BC3" w:rsidRPr="00B946CE" w:rsidTr="002C69BF">
      <w:trPr>
        <w:trHeight w:val="346"/>
      </w:trPr>
      <w:tc>
        <w:tcPr>
          <w:tcW w:w="3672" w:type="dxa"/>
          <w:vMerge/>
        </w:tcPr>
        <w:p w:rsidR="001E5BC3" w:rsidRPr="00B946CE" w:rsidRDefault="001E5BC3">
          <w:pPr>
            <w:pStyle w:val="Header"/>
            <w:rPr>
              <w:noProof/>
              <w:sz w:val="12"/>
              <w:szCs w:val="12"/>
            </w:rPr>
          </w:pPr>
        </w:p>
      </w:tc>
      <w:tc>
        <w:tcPr>
          <w:tcW w:w="3672" w:type="dxa"/>
        </w:tcPr>
        <w:p w:rsidR="001E5BC3" w:rsidRPr="009838AC" w:rsidRDefault="007F673B" w:rsidP="00EC6156">
          <w:pPr>
            <w:pStyle w:val="Header"/>
            <w:jc w:val="center"/>
            <w:rPr>
              <w:rFonts w:cs="Times New Roman"/>
            </w:rPr>
          </w:pPr>
          <w:r>
            <w:rPr>
              <w:rFonts w:cs="Times New Roman"/>
            </w:rPr>
            <w:t>Changes from 2013 onward</w:t>
          </w:r>
        </w:p>
      </w:tc>
      <w:tc>
        <w:tcPr>
          <w:tcW w:w="3672" w:type="dxa"/>
        </w:tcPr>
        <w:p w:rsidR="001E5BC3" w:rsidRPr="00B946CE" w:rsidRDefault="001E5BC3">
          <w:pPr>
            <w:pStyle w:val="Header"/>
          </w:pPr>
        </w:p>
      </w:tc>
    </w:tr>
  </w:tbl>
  <w:p w:rsidR="001E5BC3" w:rsidRPr="00B946CE" w:rsidRDefault="001E5BC3" w:rsidP="003B4BC3">
    <w:pPr>
      <w:pStyle w:val="Header"/>
      <w:rPr>
        <w:rFonts w:cs="Times New Roman"/>
        <w:sz w:val="12"/>
        <w:szCs w:val="12"/>
      </w:rPr>
    </w:pPr>
  </w:p>
  <w:p w:rsidR="001E5BC3" w:rsidRDefault="001C0A41">
    <w:pPr>
      <w:pStyle w:val="Header"/>
    </w:pPr>
    <w:r>
      <w:rPr>
        <w:noProof/>
      </w:rPr>
      <w:pict>
        <v:shapetype id="_x0000_t32" coordsize="21600,21600" o:spt="32" o:oned="t" path="m,l21600,21600e" filled="f">
          <v:path arrowok="t" fillok="f" o:connecttype="none"/>
          <o:lock v:ext="edit" shapetype="t"/>
        </v:shapetype>
        <v:shape id="_x0000_s2050" type="#_x0000_t32" style="position:absolute;margin-left:1pt;margin-top:6.85pt;width:538.5pt;height:0;z-index:25165926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4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707D0E"/>
    <w:multiLevelType w:val="hybridMultilevel"/>
    <w:tmpl w:val="A05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34762"/>
    <w:multiLevelType w:val="multilevel"/>
    <w:tmpl w:val="69F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BE4359"/>
    <w:multiLevelType w:val="hybridMultilevel"/>
    <w:tmpl w:val="BA028A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7AB4720"/>
    <w:multiLevelType w:val="hybridMultilevel"/>
    <w:tmpl w:val="C1BCC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DD16D0A"/>
    <w:multiLevelType w:val="hybridMultilevel"/>
    <w:tmpl w:val="B19A0E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8">
    <w:nsid w:val="5E1B7A28"/>
    <w:multiLevelType w:val="hybridMultilevel"/>
    <w:tmpl w:val="9A32E026"/>
    <w:lvl w:ilvl="0" w:tplc="0409000F">
      <w:start w:val="1"/>
      <w:numFmt w:val="decimal"/>
      <w:lvlText w:val="%1."/>
      <w:lvlJc w:val="left"/>
      <w:pPr>
        <w:ind w:left="763" w:hanging="360"/>
      </w:pPr>
      <w:rPr>
        <w:rFont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A3826EA"/>
    <w:multiLevelType w:val="hybridMultilevel"/>
    <w:tmpl w:val="DC428902"/>
    <w:lvl w:ilvl="0" w:tplc="FEC6A786">
      <w:start w:val="1"/>
      <w:numFmt w:val="bullet"/>
      <w:lvlText w:val=""/>
      <w:lvlJc w:val="left"/>
      <w:pPr>
        <w:ind w:left="720" w:hanging="360"/>
      </w:pPr>
      <w:rPr>
        <w:rFonts w:ascii="Symbol" w:hAnsi="Symbol" w:hint="default"/>
        <w:sz w:val="44"/>
        <w:szCs w:val="44"/>
      </w:rPr>
    </w:lvl>
    <w:lvl w:ilvl="1" w:tplc="8EBAFD30">
      <w:start w:val="1"/>
      <w:numFmt w:val="bullet"/>
      <w:lvlText w:val=""/>
      <w:lvlJc w:val="left"/>
      <w:pPr>
        <w:ind w:left="1440" w:hanging="360"/>
      </w:pPr>
      <w:rPr>
        <w:rFonts w:ascii="Symbol" w:hAnsi="Symbol" w:hint="default"/>
        <w:sz w:val="36"/>
        <w:szCs w:val="3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4E24FD"/>
    <w:multiLevelType w:val="multilevel"/>
    <w:tmpl w:val="603E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7A8D560D"/>
    <w:multiLevelType w:val="hybridMultilevel"/>
    <w:tmpl w:val="9A32E0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4"/>
  </w:num>
  <w:num w:numId="7">
    <w:abstractNumId w:val="3"/>
  </w:num>
  <w:num w:numId="8">
    <w:abstractNumId w:val="6"/>
  </w:num>
  <w:num w:numId="9">
    <w:abstractNumId w:val="5"/>
  </w:num>
  <w:num w:numId="10">
    <w:abstractNumId w:val="1"/>
  </w:num>
  <w:num w:numId="11">
    <w:abstractNumId w:val="0"/>
  </w:num>
  <w:num w:numId="12">
    <w:abstractNumId w:val="7"/>
  </w:num>
  <w:num w:numId="13">
    <w:abstractNumId w:val="8"/>
  </w:num>
  <w:num w:numId="14">
    <w:abstractNumId w:val="14"/>
  </w:num>
  <w:num w:numId="15">
    <w:abstractNumId w:val="10"/>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rules v:ext="edit">
        <o:r id="V:Rule3" type="connector" idref="#_x0000_s2050"/>
        <o:r id="V:Rule4" type="connector" idref="#_x0000_s2053"/>
      </o:rules>
    </o:shapelayout>
  </w:hdrShapeDefaults>
  <w:footnotePr>
    <w:footnote w:id="-1"/>
    <w:footnote w:id="0"/>
  </w:footnotePr>
  <w:endnotePr>
    <w:endnote w:id="-1"/>
    <w:endnote w:id="0"/>
  </w:endnotePr>
  <w:compat>
    <w:compatSetting w:name="compatibilityMode" w:uri="http://schemas.microsoft.com/office/word" w:val="12"/>
  </w:compat>
  <w:rsids>
    <w:rsidRoot w:val="00B23375"/>
    <w:rsid w:val="00005C77"/>
    <w:rsid w:val="00012036"/>
    <w:rsid w:val="00014150"/>
    <w:rsid w:val="00042CAB"/>
    <w:rsid w:val="00047344"/>
    <w:rsid w:val="00050B33"/>
    <w:rsid w:val="00070FE4"/>
    <w:rsid w:val="000839A2"/>
    <w:rsid w:val="00086560"/>
    <w:rsid w:val="00094C40"/>
    <w:rsid w:val="00095AF9"/>
    <w:rsid w:val="000A34DA"/>
    <w:rsid w:val="000A530B"/>
    <w:rsid w:val="000B03C8"/>
    <w:rsid w:val="000C6816"/>
    <w:rsid w:val="000D22E6"/>
    <w:rsid w:val="000E055C"/>
    <w:rsid w:val="000F04DC"/>
    <w:rsid w:val="00100F3E"/>
    <w:rsid w:val="00101703"/>
    <w:rsid w:val="0013446C"/>
    <w:rsid w:val="00140A72"/>
    <w:rsid w:val="001559E7"/>
    <w:rsid w:val="0016585E"/>
    <w:rsid w:val="001A6CC9"/>
    <w:rsid w:val="001B7EF2"/>
    <w:rsid w:val="001C0A41"/>
    <w:rsid w:val="001C249A"/>
    <w:rsid w:val="001C4574"/>
    <w:rsid w:val="001C5DA7"/>
    <w:rsid w:val="001D7198"/>
    <w:rsid w:val="001E4755"/>
    <w:rsid w:val="001E5BC3"/>
    <w:rsid w:val="001F4A93"/>
    <w:rsid w:val="001F67CB"/>
    <w:rsid w:val="0020688F"/>
    <w:rsid w:val="002236EA"/>
    <w:rsid w:val="00240374"/>
    <w:rsid w:val="0024532D"/>
    <w:rsid w:val="002561C0"/>
    <w:rsid w:val="002727C3"/>
    <w:rsid w:val="00280390"/>
    <w:rsid w:val="002937DF"/>
    <w:rsid w:val="00293D60"/>
    <w:rsid w:val="002A294B"/>
    <w:rsid w:val="002A54D9"/>
    <w:rsid w:val="002A5AAE"/>
    <w:rsid w:val="002B0568"/>
    <w:rsid w:val="002B630E"/>
    <w:rsid w:val="002C3419"/>
    <w:rsid w:val="002C4660"/>
    <w:rsid w:val="002C69BF"/>
    <w:rsid w:val="002D022B"/>
    <w:rsid w:val="002D269E"/>
    <w:rsid w:val="002D55BE"/>
    <w:rsid w:val="003237F4"/>
    <w:rsid w:val="00332BD2"/>
    <w:rsid w:val="003370C4"/>
    <w:rsid w:val="00356930"/>
    <w:rsid w:val="00364AD7"/>
    <w:rsid w:val="0038650A"/>
    <w:rsid w:val="0038762C"/>
    <w:rsid w:val="0039510C"/>
    <w:rsid w:val="003975F8"/>
    <w:rsid w:val="003A731A"/>
    <w:rsid w:val="003B4BC3"/>
    <w:rsid w:val="003E6062"/>
    <w:rsid w:val="004011BA"/>
    <w:rsid w:val="00405DA6"/>
    <w:rsid w:val="00417D42"/>
    <w:rsid w:val="00435F40"/>
    <w:rsid w:val="00435F90"/>
    <w:rsid w:val="004431C3"/>
    <w:rsid w:val="004468A4"/>
    <w:rsid w:val="00453A59"/>
    <w:rsid w:val="00454F7F"/>
    <w:rsid w:val="00456DA7"/>
    <w:rsid w:val="0045742B"/>
    <w:rsid w:val="00465B0F"/>
    <w:rsid w:val="00470F77"/>
    <w:rsid w:val="004763F9"/>
    <w:rsid w:val="00483668"/>
    <w:rsid w:val="004855BA"/>
    <w:rsid w:val="00494D4B"/>
    <w:rsid w:val="004A05BC"/>
    <w:rsid w:val="004A300A"/>
    <w:rsid w:val="004B0F8F"/>
    <w:rsid w:val="004C28A8"/>
    <w:rsid w:val="004D015C"/>
    <w:rsid w:val="004D3636"/>
    <w:rsid w:val="004D5B51"/>
    <w:rsid w:val="004E328E"/>
    <w:rsid w:val="004F0368"/>
    <w:rsid w:val="00506070"/>
    <w:rsid w:val="0050741C"/>
    <w:rsid w:val="005145ED"/>
    <w:rsid w:val="00531C7F"/>
    <w:rsid w:val="00537A64"/>
    <w:rsid w:val="00556BAD"/>
    <w:rsid w:val="00564EC5"/>
    <w:rsid w:val="005655DA"/>
    <w:rsid w:val="00570CF9"/>
    <w:rsid w:val="00577592"/>
    <w:rsid w:val="005837DC"/>
    <w:rsid w:val="00586371"/>
    <w:rsid w:val="005863D4"/>
    <w:rsid w:val="00597AEA"/>
    <w:rsid w:val="005A00DA"/>
    <w:rsid w:val="005A14D9"/>
    <w:rsid w:val="005B7AA4"/>
    <w:rsid w:val="005E02E9"/>
    <w:rsid w:val="005E1D65"/>
    <w:rsid w:val="005F7DAA"/>
    <w:rsid w:val="00601334"/>
    <w:rsid w:val="00601478"/>
    <w:rsid w:val="006123C8"/>
    <w:rsid w:val="006169CD"/>
    <w:rsid w:val="00651279"/>
    <w:rsid w:val="00651960"/>
    <w:rsid w:val="00653CDE"/>
    <w:rsid w:val="00654A9E"/>
    <w:rsid w:val="00673294"/>
    <w:rsid w:val="006A2D70"/>
    <w:rsid w:val="006A72A6"/>
    <w:rsid w:val="006B326E"/>
    <w:rsid w:val="006F3DF4"/>
    <w:rsid w:val="00700093"/>
    <w:rsid w:val="007212E9"/>
    <w:rsid w:val="00722441"/>
    <w:rsid w:val="00723E42"/>
    <w:rsid w:val="007240B1"/>
    <w:rsid w:val="007272A4"/>
    <w:rsid w:val="0073349E"/>
    <w:rsid w:val="007349D7"/>
    <w:rsid w:val="00742A07"/>
    <w:rsid w:val="00767A99"/>
    <w:rsid w:val="00770A58"/>
    <w:rsid w:val="00771408"/>
    <w:rsid w:val="007809E2"/>
    <w:rsid w:val="007A0D32"/>
    <w:rsid w:val="007A5171"/>
    <w:rsid w:val="007D66E0"/>
    <w:rsid w:val="007E0DF2"/>
    <w:rsid w:val="007E30DC"/>
    <w:rsid w:val="007E7CED"/>
    <w:rsid w:val="007F0A08"/>
    <w:rsid w:val="007F673B"/>
    <w:rsid w:val="007F745A"/>
    <w:rsid w:val="007F778B"/>
    <w:rsid w:val="007F7830"/>
    <w:rsid w:val="007F7BB4"/>
    <w:rsid w:val="008069DA"/>
    <w:rsid w:val="00811373"/>
    <w:rsid w:val="00820020"/>
    <w:rsid w:val="008260FF"/>
    <w:rsid w:val="00830754"/>
    <w:rsid w:val="008420A3"/>
    <w:rsid w:val="008542B5"/>
    <w:rsid w:val="00877375"/>
    <w:rsid w:val="00877701"/>
    <w:rsid w:val="008817E0"/>
    <w:rsid w:val="00886F1B"/>
    <w:rsid w:val="008A4C76"/>
    <w:rsid w:val="008B71A1"/>
    <w:rsid w:val="008C02AE"/>
    <w:rsid w:val="008D133E"/>
    <w:rsid w:val="008D780A"/>
    <w:rsid w:val="008F2241"/>
    <w:rsid w:val="009049D1"/>
    <w:rsid w:val="00945053"/>
    <w:rsid w:val="00955CD3"/>
    <w:rsid w:val="009755B5"/>
    <w:rsid w:val="0098113A"/>
    <w:rsid w:val="009838AC"/>
    <w:rsid w:val="009839FB"/>
    <w:rsid w:val="009972FB"/>
    <w:rsid w:val="009C7602"/>
    <w:rsid w:val="009E1F60"/>
    <w:rsid w:val="009E4281"/>
    <w:rsid w:val="009E5D06"/>
    <w:rsid w:val="009F4D50"/>
    <w:rsid w:val="00A03298"/>
    <w:rsid w:val="00A21300"/>
    <w:rsid w:val="00A2382B"/>
    <w:rsid w:val="00A24F3E"/>
    <w:rsid w:val="00A376A4"/>
    <w:rsid w:val="00A505D8"/>
    <w:rsid w:val="00A566B8"/>
    <w:rsid w:val="00A67025"/>
    <w:rsid w:val="00A674A4"/>
    <w:rsid w:val="00A75CD3"/>
    <w:rsid w:val="00A8029D"/>
    <w:rsid w:val="00A84EDD"/>
    <w:rsid w:val="00A853D2"/>
    <w:rsid w:val="00A9147D"/>
    <w:rsid w:val="00A9383C"/>
    <w:rsid w:val="00A94C64"/>
    <w:rsid w:val="00AA402E"/>
    <w:rsid w:val="00AB3859"/>
    <w:rsid w:val="00AB77D5"/>
    <w:rsid w:val="00AD0F54"/>
    <w:rsid w:val="00AE0E79"/>
    <w:rsid w:val="00AF6A2F"/>
    <w:rsid w:val="00AF6AD4"/>
    <w:rsid w:val="00AF701B"/>
    <w:rsid w:val="00B02C20"/>
    <w:rsid w:val="00B12130"/>
    <w:rsid w:val="00B23375"/>
    <w:rsid w:val="00B30FB4"/>
    <w:rsid w:val="00B33783"/>
    <w:rsid w:val="00B3638C"/>
    <w:rsid w:val="00B4215B"/>
    <w:rsid w:val="00B935AE"/>
    <w:rsid w:val="00B946CE"/>
    <w:rsid w:val="00B96916"/>
    <w:rsid w:val="00B96EF1"/>
    <w:rsid w:val="00BA37EF"/>
    <w:rsid w:val="00BA6F64"/>
    <w:rsid w:val="00BB0668"/>
    <w:rsid w:val="00BC1A64"/>
    <w:rsid w:val="00BC2722"/>
    <w:rsid w:val="00BE7ACD"/>
    <w:rsid w:val="00C303BF"/>
    <w:rsid w:val="00C3585A"/>
    <w:rsid w:val="00C37204"/>
    <w:rsid w:val="00C610CF"/>
    <w:rsid w:val="00C75570"/>
    <w:rsid w:val="00C83E8C"/>
    <w:rsid w:val="00CA3416"/>
    <w:rsid w:val="00CB19A1"/>
    <w:rsid w:val="00CC6689"/>
    <w:rsid w:val="00CD1AC0"/>
    <w:rsid w:val="00CE4B7D"/>
    <w:rsid w:val="00CF02B1"/>
    <w:rsid w:val="00CF3CAF"/>
    <w:rsid w:val="00D25C55"/>
    <w:rsid w:val="00D355F8"/>
    <w:rsid w:val="00D4158B"/>
    <w:rsid w:val="00D46496"/>
    <w:rsid w:val="00D55F22"/>
    <w:rsid w:val="00D7455D"/>
    <w:rsid w:val="00D83A4B"/>
    <w:rsid w:val="00D8467A"/>
    <w:rsid w:val="00D858B2"/>
    <w:rsid w:val="00D87084"/>
    <w:rsid w:val="00D95751"/>
    <w:rsid w:val="00DA54E4"/>
    <w:rsid w:val="00DA5D38"/>
    <w:rsid w:val="00DB063C"/>
    <w:rsid w:val="00DB3DBA"/>
    <w:rsid w:val="00DB42D3"/>
    <w:rsid w:val="00DB69D4"/>
    <w:rsid w:val="00DC264C"/>
    <w:rsid w:val="00DE43F9"/>
    <w:rsid w:val="00DE52D5"/>
    <w:rsid w:val="00E013D2"/>
    <w:rsid w:val="00E11158"/>
    <w:rsid w:val="00E2259B"/>
    <w:rsid w:val="00E36A03"/>
    <w:rsid w:val="00E57437"/>
    <w:rsid w:val="00E71923"/>
    <w:rsid w:val="00E93476"/>
    <w:rsid w:val="00E95639"/>
    <w:rsid w:val="00EA21A4"/>
    <w:rsid w:val="00EB222E"/>
    <w:rsid w:val="00EC6156"/>
    <w:rsid w:val="00ED51BB"/>
    <w:rsid w:val="00EF2790"/>
    <w:rsid w:val="00EF3293"/>
    <w:rsid w:val="00EF4D6E"/>
    <w:rsid w:val="00F33846"/>
    <w:rsid w:val="00F370AD"/>
    <w:rsid w:val="00F371E6"/>
    <w:rsid w:val="00F462F7"/>
    <w:rsid w:val="00F608CE"/>
    <w:rsid w:val="00F61877"/>
    <w:rsid w:val="00F61BA3"/>
    <w:rsid w:val="00F66205"/>
    <w:rsid w:val="00F95FE5"/>
    <w:rsid w:val="00FB106C"/>
    <w:rsid w:val="00FB7548"/>
    <w:rsid w:val="00FD6349"/>
    <w:rsid w:val="00FE60E4"/>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88F"/>
  </w:style>
  <w:style w:type="paragraph" w:styleId="Heading1">
    <w:name w:val="heading 1"/>
    <w:basedOn w:val="Normal"/>
    <w:next w:val="Normal"/>
    <w:link w:val="Heading1Char"/>
    <w:uiPriority w:val="9"/>
    <w:qFormat/>
    <w:rsid w:val="004E32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17D4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7D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cs="Times New Roman"/>
    </w:rPr>
  </w:style>
  <w:style w:type="paragraph" w:styleId="BodyText">
    <w:name w:val="Body Text"/>
    <w:basedOn w:val="Normal"/>
    <w:link w:val="BodyTextChar"/>
    <w:semiHidden/>
    <w:unhideWhenUsed/>
    <w:rsid w:val="00D858B2"/>
    <w:pPr>
      <w:spacing w:after="240" w:line="240" w:lineRule="auto"/>
    </w:pPr>
    <w:rPr>
      <w:rFonts w:eastAsia="Times New Roman" w:cs="Times New Roman"/>
    </w:rPr>
  </w:style>
  <w:style w:type="character" w:customStyle="1" w:styleId="BodyTextChar">
    <w:name w:val="Body Text Char"/>
    <w:basedOn w:val="DefaultParagraphFont"/>
    <w:link w:val="BodyText"/>
    <w:semiHidden/>
    <w:rsid w:val="00D858B2"/>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17D42"/>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417D4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8775">
      <w:bodyDiv w:val="1"/>
      <w:marLeft w:val="0"/>
      <w:marRight w:val="0"/>
      <w:marTop w:val="0"/>
      <w:marBottom w:val="0"/>
      <w:divBdr>
        <w:top w:val="none" w:sz="0" w:space="0" w:color="auto"/>
        <w:left w:val="none" w:sz="0" w:space="0" w:color="auto"/>
        <w:bottom w:val="none" w:sz="0" w:space="0" w:color="auto"/>
        <w:right w:val="none" w:sz="0" w:space="0" w:color="auto"/>
      </w:divBdr>
    </w:div>
    <w:div w:id="427971789">
      <w:bodyDiv w:val="1"/>
      <w:marLeft w:val="0"/>
      <w:marRight w:val="0"/>
      <w:marTop w:val="0"/>
      <w:marBottom w:val="0"/>
      <w:divBdr>
        <w:top w:val="none" w:sz="0" w:space="0" w:color="auto"/>
        <w:left w:val="none" w:sz="0" w:space="0" w:color="auto"/>
        <w:bottom w:val="none" w:sz="0" w:space="0" w:color="auto"/>
        <w:right w:val="none" w:sz="0" w:space="0" w:color="auto"/>
      </w:divBdr>
    </w:div>
    <w:div w:id="1147092745">
      <w:bodyDiv w:val="1"/>
      <w:marLeft w:val="0"/>
      <w:marRight w:val="0"/>
      <w:marTop w:val="0"/>
      <w:marBottom w:val="0"/>
      <w:divBdr>
        <w:top w:val="none" w:sz="0" w:space="0" w:color="auto"/>
        <w:left w:val="none" w:sz="0" w:space="0" w:color="auto"/>
        <w:bottom w:val="none" w:sz="0" w:space="0" w:color="auto"/>
        <w:right w:val="none" w:sz="0" w:space="0" w:color="auto"/>
      </w:divBdr>
    </w:div>
    <w:div w:id="1448506388">
      <w:bodyDiv w:val="1"/>
      <w:marLeft w:val="0"/>
      <w:marRight w:val="0"/>
      <w:marTop w:val="0"/>
      <w:marBottom w:val="0"/>
      <w:divBdr>
        <w:top w:val="none" w:sz="0" w:space="0" w:color="auto"/>
        <w:left w:val="none" w:sz="0" w:space="0" w:color="auto"/>
        <w:bottom w:val="none" w:sz="0" w:space="0" w:color="auto"/>
        <w:right w:val="none" w:sz="0" w:space="0" w:color="auto"/>
      </w:divBdr>
    </w:div>
    <w:div w:id="174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en.gentile@Honeywell.com?subject=silent%20knight%20blog" TargetMode="External"/><Relationship Id="rId4" Type="http://schemas.microsoft.com/office/2007/relationships/stylesWithEffects" Target="stylesWithEffects.xml"/><Relationship Id="rId9" Type="http://schemas.openxmlformats.org/officeDocument/2006/relationships/hyperlink" Target="http://www.nfpa.org/codes-and-standards/document-information-pages?mode=code&amp;code=7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46F4F-F2E9-4E19-91EB-1A5DD99B5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Arun</dc:creator>
  <cp:lastModifiedBy>Note</cp:lastModifiedBy>
  <cp:revision>114</cp:revision>
  <cp:lastPrinted>2012-08-28T22:06:00Z</cp:lastPrinted>
  <dcterms:created xsi:type="dcterms:W3CDTF">2012-08-27T23:08:00Z</dcterms:created>
  <dcterms:modified xsi:type="dcterms:W3CDTF">2019-10-07T20:18:00Z</dcterms:modified>
</cp:coreProperties>
</file>