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892D40" w:rsidRPr="00892D40">
        <w:rPr>
          <w:b/>
        </w:rPr>
        <w:t>Valley Collision</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GoBack"/>
      <w:bookmarkEnd w:id="0"/>
    </w:p>
    <w:bookmarkStart w:id="1" w:name="_MON_1403253415"/>
    <w:bookmarkEnd w:id="1"/>
    <w:p w:rsidR="00EF5E69" w:rsidRDefault="00BF78E3">
      <w:pPr>
        <w:jc w:val="center"/>
      </w:pPr>
      <w:r>
        <w:object w:dxaOrig="12890"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85pt;height:181.45pt" o:ole="">
            <v:imagedata r:id="rId9" o:title=""/>
          </v:shape>
          <o:OLEObject Type="Embed" ProgID="Excel.Sheet.12" ShapeID="_x0000_i1028" DrawAspect="Content" ObjectID="_1734935502"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Pr="00B95531" w:rsidRDefault="00EF5E69" w:rsidP="00955CD3">
      <w:pPr>
        <w:pStyle w:val="Heading2"/>
        <w:spacing w:before="0"/>
        <w:rPr>
          <w:sz w:val="18"/>
        </w:rPr>
      </w:pPr>
    </w:p>
    <w:p w:rsidR="00EF5E69" w:rsidRDefault="00EF5E69" w:rsidP="00955CD3">
      <w:pPr>
        <w:pStyle w:val="Heading2"/>
        <w:spacing w:before="0"/>
      </w:pPr>
      <w:r>
        <w:t>Summary</w:t>
      </w:r>
    </w:p>
    <w:p w:rsidR="00EF5E69" w:rsidRDefault="00EF5E69" w:rsidP="00F27273">
      <w:r>
        <w:t>This proposal is to instal</w:t>
      </w:r>
      <w:r w:rsidR="006A2C90">
        <w:t xml:space="preserve">l a </w:t>
      </w:r>
      <w:r w:rsidR="00AB1517">
        <w:t>Dedicated Function</w:t>
      </w:r>
      <w:r w:rsidR="006A2C90">
        <w:t xml:space="preserve"> fire alarm</w:t>
      </w:r>
      <w:r>
        <w:t xml:space="preserve"> system </w:t>
      </w:r>
      <w:r w:rsidR="00AB1517">
        <w:t xml:space="preserve">to monitor the chemical suppression systems </w:t>
      </w:r>
      <w:r>
        <w:t xml:space="preserve">for </w:t>
      </w:r>
      <w:r w:rsidR="00892D40">
        <w:t>Valley Collision</w:t>
      </w:r>
      <w:r w:rsidR="008149DA">
        <w:t xml:space="preserve">, at the </w:t>
      </w:r>
      <w:r w:rsidR="00892D40">
        <w:t>2521 S. 300 W. South Salt Lake</w:t>
      </w:r>
      <w:r w:rsidR="00B95531">
        <w:t xml:space="preserve"> City</w:t>
      </w:r>
      <w:r w:rsidR="00892D40">
        <w:t xml:space="preserve"> address</w:t>
      </w:r>
      <w:r w:rsidR="00357E78">
        <w:t>,</w:t>
      </w:r>
      <w:r>
        <w:t xml:space="preserve"> in accordance with the above referenced standards where applicable, and in accordance with approved Drawings, Calculations and Permits, and all addendums as released as of 20</w:t>
      </w:r>
      <w:r w:rsidR="00892D40">
        <w:t>23</w:t>
      </w:r>
      <w:r>
        <w:t>-</w:t>
      </w:r>
      <w:r w:rsidR="00892D40">
        <w:t>01</w:t>
      </w:r>
      <w:r>
        <w:t>-</w:t>
      </w:r>
      <w:r w:rsidR="00892D40">
        <w:t>10</w:t>
      </w:r>
    </w:p>
    <w:p w:rsidR="00EF5E69" w:rsidRDefault="00EF5E69" w:rsidP="00B20A30">
      <w:pPr>
        <w:pStyle w:val="Heading2"/>
      </w:pPr>
      <w:r>
        <w:t>Inclusions</w:t>
      </w:r>
    </w:p>
    <w:p w:rsidR="00EF5E69" w:rsidRDefault="00EF5E69" w:rsidP="00276598">
      <w:pPr>
        <w:pStyle w:val="NoSpacing"/>
        <w:numPr>
          <w:ilvl w:val="0"/>
          <w:numId w:val="9"/>
        </w:numPr>
        <w:ind w:left="720"/>
      </w:pPr>
      <w:r>
        <w:t xml:space="preserve">The use of our Licensed Design </w:t>
      </w:r>
      <w:r w:rsidR="00892D40">
        <w:t>Team</w:t>
      </w:r>
      <w:r>
        <w:t xml:space="preserv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over the Project to </w:t>
      </w:r>
      <w:r w:rsidR="00892D40">
        <w:t>begin work.</w:t>
      </w:r>
    </w:p>
    <w:p w:rsidR="006E57BF" w:rsidRDefault="00892D40" w:rsidP="006E57BF">
      <w:pPr>
        <w:pStyle w:val="NoSpacing"/>
        <w:numPr>
          <w:ilvl w:val="0"/>
          <w:numId w:val="9"/>
        </w:numPr>
        <w:ind w:left="720"/>
      </w:pPr>
      <w:r>
        <w:t xml:space="preserve">Install a Dedicated Function Fire Alarm </w:t>
      </w:r>
      <w:r w:rsidR="006E57BF">
        <w:t>system as per mutually approved plans</w:t>
      </w:r>
      <w:r>
        <w:t>, to monitor the three Chemical Suppression System</w:t>
      </w:r>
      <w:r w:rsidR="00592A80">
        <w:t>s</w:t>
      </w:r>
      <w:r>
        <w:t xml:space="preserve"> that service two Paint Booths and One mixing room</w:t>
      </w:r>
      <w:r w:rsidR="006E57BF">
        <w:t>.</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w:t>
      </w:r>
      <w:r w:rsidR="00D2685F">
        <w:t xml:space="preserve">Dedicated </w:t>
      </w:r>
      <w:r w:rsidR="00592A80">
        <w:t xml:space="preserve">Function </w:t>
      </w:r>
      <w:r w:rsidR="00AE3F10">
        <w:t>Fire Alarm S</w:t>
      </w:r>
      <w:r w:rsidR="006A2C90">
        <w:t>ystem and Panel including:</w:t>
      </w:r>
    </w:p>
    <w:p w:rsidR="00370B93" w:rsidRDefault="00892D40" w:rsidP="003A2782">
      <w:pPr>
        <w:pStyle w:val="NoSpacing"/>
        <w:numPr>
          <w:ilvl w:val="2"/>
          <w:numId w:val="9"/>
        </w:numPr>
      </w:pPr>
      <w:proofErr w:type="spellStart"/>
      <w:r>
        <w:lastRenderedPageBreak/>
        <w:t>Starlink</w:t>
      </w:r>
      <w:proofErr w:type="spellEnd"/>
      <w:r>
        <w:t xml:space="preserve"> LTE Panel</w:t>
      </w:r>
      <w:r w:rsidR="00F71544">
        <w:t xml:space="preserve"> (1)</w:t>
      </w:r>
      <w:r w:rsidR="0083062C">
        <w:t xml:space="preserve"> (</w:t>
      </w:r>
      <w:proofErr w:type="spellStart"/>
      <w:r>
        <w:t>NapCo</w:t>
      </w:r>
      <w:proofErr w:type="spellEnd"/>
      <w:r w:rsidR="0083062C">
        <w:t>)</w:t>
      </w:r>
    </w:p>
    <w:p w:rsidR="00D072C4" w:rsidRDefault="002E63B5" w:rsidP="003A2782">
      <w:pPr>
        <w:pStyle w:val="NoSpacing"/>
        <w:numPr>
          <w:ilvl w:val="2"/>
          <w:numId w:val="9"/>
        </w:numPr>
      </w:pPr>
      <w:r>
        <w:t>MC-</w:t>
      </w:r>
      <w:r w:rsidR="00AE3F10">
        <w:t>Fire-w</w:t>
      </w:r>
      <w:r w:rsidR="00D072C4">
        <w:t>iring,</w:t>
      </w:r>
      <w:r w:rsidR="003A3EB6">
        <w:t xml:space="preserve"> (wire to the devices from panel)</w:t>
      </w:r>
    </w:p>
    <w:p w:rsidR="00E4430B" w:rsidRDefault="002E63B5" w:rsidP="002E63B5">
      <w:pPr>
        <w:pStyle w:val="NoSpacing"/>
        <w:numPr>
          <w:ilvl w:val="2"/>
          <w:numId w:val="9"/>
        </w:numPr>
      </w:pPr>
      <w:r>
        <w:t>One</w:t>
      </w:r>
      <w:r w:rsidR="00A72513">
        <w:t xml:space="preserve"> horn/strobe</w:t>
      </w:r>
      <w:r w:rsidR="0083062C">
        <w:t xml:space="preserve"> </w:t>
      </w:r>
      <w:r w:rsidR="003A3EB6">
        <w:t xml:space="preserve">alarm </w:t>
      </w:r>
      <w:r>
        <w:t>combination (1</w:t>
      </w:r>
      <w:r w:rsidR="0083062C">
        <w:t>)</w:t>
      </w:r>
    </w:p>
    <w:p w:rsidR="006A2C90" w:rsidRDefault="0083062C" w:rsidP="003A2782">
      <w:pPr>
        <w:pStyle w:val="NoSpacing"/>
        <w:numPr>
          <w:ilvl w:val="2"/>
          <w:numId w:val="9"/>
        </w:numPr>
      </w:pPr>
      <w:r>
        <w:t xml:space="preserve">One </w:t>
      </w:r>
      <w:r w:rsidR="002E63B5">
        <w:t>Heat</w:t>
      </w:r>
      <w:r w:rsidR="006A2C90">
        <w:t xml:space="preserve"> detector</w:t>
      </w:r>
      <w:r w:rsidR="00AE3F10">
        <w:t>,</w:t>
      </w:r>
      <w:r w:rsidR="00E4430B">
        <w:t xml:space="preserve"> (1)</w:t>
      </w:r>
    </w:p>
    <w:p w:rsidR="003A2782" w:rsidRDefault="0083062C" w:rsidP="003A2782">
      <w:pPr>
        <w:pStyle w:val="NoSpacing"/>
        <w:numPr>
          <w:ilvl w:val="2"/>
          <w:numId w:val="9"/>
        </w:numPr>
      </w:pPr>
      <w:r>
        <w:t xml:space="preserve">One </w:t>
      </w:r>
      <w:r w:rsidR="003A2782">
        <w:t>Pull station near exit</w:t>
      </w:r>
      <w:r w:rsidR="00AE3F10">
        <w:t>,</w:t>
      </w:r>
      <w:r w:rsidR="00A72513">
        <w:t xml:space="preserve"> (1)</w:t>
      </w:r>
    </w:p>
    <w:p w:rsidR="00EF5E69" w:rsidRDefault="006A2C90" w:rsidP="00276598">
      <w:pPr>
        <w:pStyle w:val="NoSpacing"/>
        <w:numPr>
          <w:ilvl w:val="1"/>
          <w:numId w:val="9"/>
        </w:numPr>
      </w:pPr>
      <w:r>
        <w:t>Programming of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 xml:space="preserve">iring work </w:t>
      </w:r>
      <w:r w:rsidR="009072EC">
        <w:t xml:space="preserve">&amp; updating micro-switches </w:t>
      </w:r>
      <w:r w:rsidR="00EF5E69">
        <w:t xml:space="preserve">pertaining to the </w:t>
      </w:r>
      <w:r w:rsidR="00B95531">
        <w:t xml:space="preserve">two paint-booth &amp; one mixing-room </w:t>
      </w:r>
      <w:r w:rsidR="00EF5E69">
        <w:t>Suppression System</w:t>
      </w:r>
      <w:r w:rsidR="00B95531">
        <w:t>s</w:t>
      </w:r>
      <w:r w:rsidR="00EF5E69">
        <w:t xml:space="preserve"> for</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2E63B5" w:rsidRDefault="00EF5E69" w:rsidP="002E63B5">
      <w:pPr>
        <w:pStyle w:val="NoSpacing"/>
        <w:numPr>
          <w:ilvl w:val="2"/>
          <w:numId w:val="9"/>
        </w:numPr>
      </w:pPr>
      <w:r>
        <w:t>strobes,</w:t>
      </w:r>
    </w:p>
    <w:p w:rsidR="00EF5E69" w:rsidRDefault="009D06FE" w:rsidP="002E63B5">
      <w:pPr>
        <w:pStyle w:val="NoSpacing"/>
        <w:ind w:left="1584"/>
      </w:pPr>
      <w:r>
        <w:t>.</w:t>
      </w:r>
      <w:r w:rsidR="00B95531">
        <w:t>.</w:t>
      </w:r>
      <w:r>
        <w:t xml:space="preserve">. </w:t>
      </w:r>
      <w:proofErr w:type="gramStart"/>
      <w:r w:rsidR="00EF5E69">
        <w:t>back</w:t>
      </w:r>
      <w:proofErr w:type="gramEnd"/>
      <w:r w:rsidR="00EF5E69">
        <w:t xml:space="preserve"> to </w:t>
      </w:r>
      <w:r w:rsidR="00B95531">
        <w:t>the</w:t>
      </w:r>
      <w:r w:rsidR="00714C21">
        <w:t xml:space="preserve"> alarm</w:t>
      </w:r>
      <w:r w:rsidR="00EF5E69">
        <w:t xml:space="preserve"> panels.</w:t>
      </w:r>
    </w:p>
    <w:p w:rsidR="006D2138" w:rsidRDefault="006D2138" w:rsidP="00276598">
      <w:pPr>
        <w:pStyle w:val="NoSpacing"/>
        <w:numPr>
          <w:ilvl w:val="1"/>
          <w:numId w:val="9"/>
        </w:numPr>
      </w:pPr>
      <w:r>
        <w:t>Program dialer to offsite monitoring.</w:t>
      </w:r>
    </w:p>
    <w:p w:rsidR="0083062C" w:rsidRDefault="002E63B5" w:rsidP="00B95531">
      <w:pPr>
        <w:pStyle w:val="NoSpacing"/>
        <w:numPr>
          <w:ilvl w:val="2"/>
          <w:numId w:val="9"/>
        </w:numPr>
      </w:pPr>
      <w:r>
        <w:t>This is a Cellular Dialer to the CMS</w:t>
      </w:r>
      <w:r w:rsidR="00580158">
        <w:t>.</w:t>
      </w:r>
    </w:p>
    <w:p w:rsidR="006E57BF" w:rsidRDefault="006E57BF" w:rsidP="006E57BF">
      <w:pPr>
        <w:pStyle w:val="Heading2"/>
      </w:pPr>
      <w:r>
        <w:t>Exclusions</w:t>
      </w:r>
    </w:p>
    <w:p w:rsidR="006D2138" w:rsidRDefault="00FF480D" w:rsidP="0076113B">
      <w:pPr>
        <w:ind w:left="720"/>
      </w:pPr>
      <w:r>
        <w:t>HV supply and wiring back to a dedicated</w:t>
      </w:r>
      <w:r w:rsidR="002E63B5">
        <w:t>, clearly labeled</w:t>
      </w:r>
      <w:r>
        <w:t xml:space="preserve"> breaker at the electrical panel</w:t>
      </w:r>
      <w:r w:rsidR="002E63B5">
        <w:t xml:space="preserve"> (125 VAC</w:t>
      </w:r>
      <w:r w:rsidR="00D82B95">
        <w:t>)</w:t>
      </w:r>
    </w:p>
    <w:p w:rsidR="00EF5E69" w:rsidRDefault="00EF5E69" w:rsidP="00C63665">
      <w:pPr>
        <w:pStyle w:val="Heading2"/>
      </w:pPr>
      <w:r>
        <w:t>Additional Charges</w:t>
      </w:r>
    </w:p>
    <w:p w:rsidR="008F4CA9" w:rsidRDefault="008F4CA9" w:rsidP="00CC4A04">
      <w:pPr>
        <w:pStyle w:val="ListParagraph"/>
        <w:numPr>
          <w:ilvl w:val="0"/>
          <w:numId w:val="13"/>
        </w:numPr>
      </w:pPr>
      <w:r>
        <w:t>As noted above.</w:t>
      </w:r>
    </w:p>
    <w:p w:rsidR="00EF5E69" w:rsidRDefault="006D2138" w:rsidP="00CC4A04">
      <w:pPr>
        <w:pStyle w:val="ListParagraph"/>
        <w:numPr>
          <w:ilvl w:val="0"/>
          <w:numId w:val="13"/>
        </w:numPr>
      </w:pPr>
      <w:r>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p>
    <w:p w:rsidR="002E63B5" w:rsidRDefault="00CC4A04" w:rsidP="00D82B95">
      <w:pPr>
        <w:pStyle w:val="NoSpacing"/>
        <w:numPr>
          <w:ilvl w:val="0"/>
          <w:numId w:val="13"/>
        </w:numPr>
      </w:pPr>
      <w:r>
        <w:t xml:space="preserve">Any extra programming of the </w:t>
      </w:r>
      <w:r w:rsidR="002E63B5">
        <w:t>FACP</w:t>
      </w:r>
      <w:r>
        <w:t>.</w:t>
      </w:r>
    </w:p>
    <w:p w:rsidR="00D82B95" w:rsidRPr="00CC4A04" w:rsidRDefault="00CC4A04" w:rsidP="002E63B5">
      <w:pPr>
        <w:pStyle w:val="NoSpacing"/>
        <w:numPr>
          <w:ilvl w:val="1"/>
          <w:numId w:val="13"/>
        </w:numPr>
      </w:pPr>
      <w:r>
        <w:t>(</w:t>
      </w:r>
      <w:proofErr w:type="gramStart"/>
      <w:r w:rsidR="00C4710E">
        <w:t>i.e</w:t>
      </w:r>
      <w:proofErr w:type="gramEnd"/>
      <w:r>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 xml:space="preserve">Owner or General is to supply one only Point-of-Contact email address for document delivery. FSS will send emails to that address only. It will be your responsibility to manage your internal distribution. </w:t>
      </w:r>
      <w:r w:rsidRPr="008F4CA9">
        <w:rPr>
          <w:b/>
          <w:color w:val="FF0000"/>
        </w:rPr>
        <w:t>Fire Suppression Services Inc.</w:t>
      </w:r>
      <w:r>
        <w:t xml:space="preserve"> reserves the right to communicate, at any &amp; all times, with the Owner of the property.</w:t>
      </w:r>
    </w:p>
    <w:p w:rsidR="004F26CE" w:rsidRDefault="004F26CE" w:rsidP="004F26CE">
      <w:pPr>
        <w:pStyle w:val="NoSpacing"/>
      </w:pPr>
      <w:r>
        <w:t>Neither th</w:t>
      </w:r>
      <w:r w:rsidR="00592A80">
        <w:t>e Contractor nor the Owner</w:t>
      </w:r>
      <w:r>
        <w:t xml:space="preserve">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Pr="004F26CE" w:rsidRDefault="004F26CE" w:rsidP="004F26CE">
      <w:pPr>
        <w:pStyle w:val="NoSpacing"/>
        <w:rPr>
          <w:b/>
        </w:rPr>
      </w:pPr>
      <w:r w:rsidRPr="004F26CE">
        <w:rPr>
          <w:b/>
        </w:rPr>
        <w:t>Other notes:</w:t>
      </w:r>
    </w:p>
    <w:p w:rsidR="004F26CE" w:rsidRDefault="004F26CE" w:rsidP="004F26CE">
      <w:pPr>
        <w:pStyle w:val="NoSpacing"/>
      </w:pPr>
      <w:r>
        <w:t>Owner/Architect/Engineer of Record to supply all CAD base drawings for Arch. Civil, Site (Utilities) &amp; MEP</w:t>
      </w:r>
    </w:p>
    <w:p w:rsidR="004F26CE" w:rsidRPr="008F4CA9" w:rsidRDefault="004F26CE" w:rsidP="004F26CE">
      <w:pPr>
        <w:pStyle w:val="NoSpacing"/>
        <w:rPr>
          <w:b/>
          <w:sz w:val="18"/>
        </w:rPr>
      </w:pPr>
      <w:r>
        <w:lastRenderedPageBreak/>
        <w:t>DWG files are to include Floor Plans, Reflected Ceiling Plans, Building Sections, Structural Plans, Mechanical (HVAC) Plans and Civil (Utility) Plans.</w:t>
      </w:r>
      <w:r w:rsidR="008F4CA9">
        <w:t xml:space="preserve"> </w:t>
      </w:r>
      <w:r w:rsidR="008F4CA9" w:rsidRPr="008F4CA9">
        <w:rPr>
          <w:b/>
          <w:sz w:val="18"/>
        </w:rPr>
        <w:t>EXTRA FEES APPLY IF WE HAVE to do CAD DRAWINGS for DESIGN/PERMIT</w:t>
      </w:r>
    </w:p>
    <w:p w:rsidR="004F26CE" w:rsidRDefault="004F26CE" w:rsidP="004F26CE">
      <w:pPr>
        <w:pStyle w:val="NoSpacing"/>
      </w:pPr>
      <w:r>
        <w:t>The Contractor shall permit this contractor (</w:t>
      </w:r>
      <w:r w:rsidRPr="001C352B">
        <w:rPr>
          <w:b/>
          <w:color w:val="FF0000"/>
        </w:rPr>
        <w:t>Fire Suppression Services inc.</w:t>
      </w:r>
      <w:r>
        <w:t>)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 xml:space="preserve">The Contractor shall promptly make available to this subcontractor information, including information from the Owner, that affects this subcontract and that becomes available to the </w:t>
      </w:r>
      <w:r w:rsidR="00E56CB5">
        <w:t xml:space="preserve">Owner or </w:t>
      </w:r>
      <w:r w:rsidRPr="004F26CE">
        <w:t>Contractor subsequent to execution of our Contract.</w:t>
      </w:r>
    </w:p>
    <w:p w:rsidR="004F26CE" w:rsidRDefault="004F26CE" w:rsidP="004F26CE">
      <w:pPr>
        <w:pStyle w:val="NoSpacing"/>
      </w:pPr>
    </w:p>
    <w:p w:rsidR="006D2138" w:rsidRDefault="004F26CE" w:rsidP="006D2138">
      <w:pPr>
        <w:pStyle w:val="NoSpacing"/>
      </w:pPr>
      <w:r>
        <w:t xml:space="preserve">It is Owner’s responsibility to supply </w:t>
      </w:r>
      <w:r w:rsidR="00EE1ABF">
        <w:t xml:space="preserve">clearly labeled, </w:t>
      </w:r>
      <w:r>
        <w:t>120 VAC 15-20 Amp, dedicated circuit with dedicated ground wiring and connectivity to building fire alarm panels</w:t>
      </w:r>
      <w:r w:rsidR="00944D4F">
        <w:t>, c</w:t>
      </w:r>
      <w:r w:rsidRPr="004F26CE">
        <w:t>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Owner is to supply, at Owners expense, Quality 110-125 AC site power to FSS site work space, in accordance with local Code in readiness for site fitters/technicians at FSS Mobilization, through to our Demobilizations. (For AWP charging and Rigid™ Thread cutters</w:t>
      </w:r>
      <w:r w:rsidR="002E63B5">
        <w:t xml:space="preserve"> &amp; other tools</w:t>
      </w:r>
      <w:r w:rsidR="00696FFC">
        <w:t xml:space="preserve"> etc.</w:t>
      </w:r>
      <w:r w:rsidRPr="004F26CE">
        <w:t>)</w:t>
      </w:r>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xml:space="preserve">. </w:t>
      </w:r>
      <w:r w:rsidR="008F4CA9">
        <w:t>this install addresses that issue as follows:</w:t>
      </w:r>
    </w:p>
    <w:p w:rsidR="00696FFC" w:rsidRDefault="00696FFC" w:rsidP="00696FFC">
      <w:pPr>
        <w:pStyle w:val="NoSpacing"/>
      </w:pPr>
    </w:p>
    <w:p w:rsidR="00696FFC" w:rsidRDefault="00696FFC" w:rsidP="00696FFC">
      <w:pPr>
        <w:pStyle w:val="NoSpacing"/>
      </w:pPr>
      <w:r>
        <w:t>For Wireless service $720 for the first twelve (12) months</w:t>
      </w:r>
      <w:r w:rsidR="008F4CA9">
        <w:t xml:space="preserve"> &amp; must always be paid in advance of service.</w:t>
      </w:r>
    </w:p>
    <w:p w:rsidR="00696FFC" w:rsidRDefault="00696FFC" w:rsidP="00696FFC">
      <w:pPr>
        <w:pStyle w:val="NoSpacing"/>
      </w:pPr>
    </w:p>
    <w:p w:rsidR="003A2782" w:rsidRDefault="002E63B5" w:rsidP="00FF7404">
      <w:pPr>
        <w:pStyle w:val="NoSpacing"/>
      </w:pPr>
      <w:r>
        <w:t xml:space="preserve">If wet suppression is involved, </w:t>
      </w:r>
      <w:r w:rsidR="00580158">
        <w:t xml:space="preserve">Owner to advise alarm technicians </w:t>
      </w:r>
      <w:r w:rsidR="003A2782">
        <w:t>when</w:t>
      </w:r>
      <w:r w:rsidR="00580158">
        <w:t xml:space="preserve"> sprinkler division has completed Riser main and main &amp; subsidiary FDC tamper switches are installed.</w:t>
      </w:r>
    </w:p>
    <w:p w:rsidR="008F4CA9" w:rsidRDefault="008F4CA9" w:rsidP="00FF7404">
      <w:pPr>
        <w:pStyle w:val="NoSpacing"/>
      </w:pPr>
    </w:p>
    <w:p w:rsidR="003A3EB6" w:rsidRDefault="003A3EB6" w:rsidP="00FF7404">
      <w:pPr>
        <w:pStyle w:val="NoSpacing"/>
      </w:pPr>
      <w:r>
        <w:t>Owner may add additional exit pull-stations for an additional fee.</w:t>
      </w:r>
    </w:p>
    <w:p w:rsidR="00E76D77" w:rsidRDefault="00E76D77" w:rsidP="00FF7404">
      <w:pPr>
        <w:pStyle w:val="NoSpacing"/>
      </w:pPr>
    </w:p>
    <w:p w:rsidR="0064623F" w:rsidRDefault="00E76D77" w:rsidP="000F1689">
      <w:pPr>
        <w:pStyle w:val="NoSpacing"/>
        <w:outlineLvl w:val="2"/>
        <w:rPr>
          <w:sz w:val="18"/>
        </w:rPr>
      </w:pPr>
      <w:r w:rsidRPr="000F1689">
        <w:rPr>
          <w:rStyle w:val="Heading1Char"/>
          <w:sz w:val="20"/>
        </w:rPr>
        <w:t>Recommendation:</w:t>
      </w:r>
      <w:r w:rsidRPr="000F1689">
        <w:rPr>
          <w:sz w:val="18"/>
        </w:rPr>
        <w:t xml:space="preserve">  </w:t>
      </w:r>
    </w:p>
    <w:p w:rsidR="0064623F" w:rsidRDefault="00F9115E" w:rsidP="00286377">
      <w:pPr>
        <w:pStyle w:val="NoSpacing"/>
      </w:pPr>
      <w:r>
        <w:t>Advise the building owners</w:t>
      </w:r>
      <w:r w:rsidR="00E76D77">
        <w:t xml:space="preserve"> Insurance Company of this install and its completion</w:t>
      </w:r>
      <w:r w:rsidR="00AA3B2C">
        <w:t xml:space="preserve"> date</w:t>
      </w:r>
      <w:r w:rsidR="00E76D77">
        <w:t>.</w:t>
      </w:r>
    </w:p>
    <w:p w:rsidR="0064623F" w:rsidRDefault="0064623F">
      <w:pPr>
        <w:spacing w:after="200" w:line="276" w:lineRule="auto"/>
        <w:rPr>
          <w:rFonts w:cs="Times New Roman"/>
        </w:rPr>
      </w:pPr>
      <w:r>
        <w:br w:type="page"/>
      </w:r>
    </w:p>
    <w:p w:rsidR="006913CD" w:rsidRPr="00EE6148" w:rsidRDefault="006913CD" w:rsidP="006913CD">
      <w:pPr>
        <w:pStyle w:val="Heading1"/>
        <w:spacing w:before="0"/>
        <w:rPr>
          <w:sz w:val="24"/>
        </w:rPr>
      </w:pPr>
      <w:r>
        <w:rPr>
          <w:sz w:val="24"/>
        </w:rPr>
        <w:lastRenderedPageBreak/>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242464">
      <w:pPr>
        <w:rPr>
          <w:b/>
          <w:bCs/>
          <w:sz w:val="16"/>
        </w:rPr>
      </w:pPr>
      <w:r>
        <w:rPr>
          <w:sz w:val="16"/>
        </w:rPr>
        <w:t>All our</w:t>
      </w:r>
      <w:r w:rsidRPr="00752D16">
        <w:rPr>
          <w:sz w:val="16"/>
        </w:rPr>
        <w:t xml:space="preserve"> Requests for Payment (billing) will be submitted per AIA docs “G702 Application for Progress Payment” using the AIA G703 “Continuation Sheet” “Schedule of Values”.  The Progress Payment you make is </w:t>
      </w:r>
      <w:r w:rsidRPr="00752D16">
        <w:rPr>
          <w:sz w:val="16"/>
          <w:u w:val="single"/>
        </w:rPr>
        <w:t>part</w:t>
      </w:r>
      <w:r w:rsidRPr="00752D16">
        <w:rPr>
          <w:sz w:val="16"/>
        </w:rPr>
        <w:t xml:space="preserve"> of an Invoice that represents the full amount of the Contract. We use ONE Master Invoice number for the project. Your payments are progress payments against this invoice.               IF we issue YOU </w:t>
      </w:r>
      <w:r>
        <w:rPr>
          <w:sz w:val="16"/>
        </w:rPr>
        <w:t>this</w:t>
      </w:r>
      <w:r w:rsidRPr="00752D16">
        <w:rPr>
          <w:sz w:val="16"/>
        </w:rPr>
        <w:t xml:space="preserve"> Invoice, then: ALL invoice amounts</w:t>
      </w:r>
      <w:r>
        <w:rPr>
          <w:sz w:val="16"/>
        </w:rPr>
        <w:t xml:space="preserve"> (the full Contract Amount), on this invoice</w:t>
      </w:r>
      <w:r w:rsidRPr="00752D16">
        <w:rPr>
          <w:sz w:val="16"/>
        </w:rPr>
        <w:t xml:space="preserve"> are Net 15, no exception. </w:t>
      </w:r>
      <w:r>
        <w:rPr>
          <w:sz w:val="16"/>
        </w:rPr>
        <w:t xml:space="preserve">       </w:t>
      </w:r>
      <w:r w:rsidRPr="00752D16">
        <w:rPr>
          <w:sz w:val="16"/>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9C02B2" w:rsidRDefault="006913CD" w:rsidP="006913CD">
      <w:pPr>
        <w:ind w:left="720"/>
        <w:rPr>
          <w:sz w:val="16"/>
        </w:rPr>
      </w:pPr>
      <w:r w:rsidRPr="00730B50">
        <w:rPr>
          <w:sz w:val="16"/>
        </w:rPr>
        <w:t xml:space="preserve">AND: All Chemical Suppression Systems AND Portable Extinguishers </w:t>
      </w:r>
    </w:p>
    <w:p w:rsidR="006913CD" w:rsidRPr="00730B50" w:rsidRDefault="006913CD" w:rsidP="006913CD">
      <w:pPr>
        <w:ind w:left="720"/>
        <w:rPr>
          <w:b/>
          <w:sz w:val="16"/>
        </w:rPr>
      </w:pPr>
      <w:r w:rsidRPr="00730B50">
        <w:rPr>
          <w:sz w:val="16"/>
        </w:rPr>
        <w:t xml:space="preserve">AND: All Alarm </w:t>
      </w:r>
      <w:proofErr w:type="gramStart"/>
      <w:r w:rsidRPr="00730B50">
        <w:rPr>
          <w:sz w:val="16"/>
        </w:rPr>
        <w:t>Systems,</w:t>
      </w:r>
      <w:proofErr w:type="gramEnd"/>
      <w:r w:rsidRPr="00730B50">
        <w:rPr>
          <w:sz w:val="16"/>
        </w:rPr>
        <w:t xml:space="preserve">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w:t>
      </w:r>
      <w:r w:rsidR="009C02B2">
        <w:rPr>
          <w:sz w:val="16"/>
        </w:rPr>
        <w:t>;</w:t>
      </w:r>
      <w:r>
        <w:rPr>
          <w:sz w:val="16"/>
        </w:rPr>
        <w:t xml:space="preserve"> </w:t>
      </w:r>
      <w:r w:rsidR="009C02B2">
        <w:rPr>
          <w:sz w:val="16"/>
        </w:rPr>
        <w:t>O</w:t>
      </w:r>
      <w:r>
        <w:rPr>
          <w:sz w:val="16"/>
        </w:rPr>
        <w:t>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w:t>
      </w:r>
      <w:r w:rsidRPr="009C02B2">
        <w:rPr>
          <w:color w:val="FF0000"/>
          <w:sz w:val="16"/>
          <w:szCs w:val="20"/>
        </w:rPr>
        <w:t xml:space="preserve">Fire Suppression Services Inc. </w:t>
      </w:r>
      <w:r w:rsidRPr="00730B50">
        <w:rPr>
          <w:sz w:val="16"/>
          <w:szCs w:val="20"/>
        </w:rPr>
        <w:t xml:space="preserve">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835C19" w:rsidP="004F26CE">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BF78E3">
            <w:rPr>
              <w:rFonts w:eastAsiaTheme="minorEastAsia"/>
              <w:bCs/>
              <w:noProof/>
              <w:sz w:val="12"/>
              <w:szCs w:val="12"/>
            </w:rPr>
            <w:t>1</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r w:rsidR="00BF78E3">
            <w:fldChar w:fldCharType="begin"/>
          </w:r>
          <w:r w:rsidR="00BF78E3">
            <w:instrText xml:space="preserve"> SECTIONPAGES  \* Arabic  \* MERGEFORMAT </w:instrText>
          </w:r>
          <w:r w:rsidR="00BF78E3">
            <w:fldChar w:fldCharType="separate"/>
          </w:r>
          <w:r w:rsidR="00BF78E3" w:rsidRPr="00BF78E3">
            <w:rPr>
              <w:rFonts w:eastAsiaTheme="minorEastAsia"/>
              <w:bCs/>
              <w:noProof/>
              <w:sz w:val="12"/>
              <w:szCs w:val="12"/>
            </w:rPr>
            <w:t>4</w:t>
          </w:r>
          <w:r w:rsidR="00BF78E3">
            <w:rPr>
              <w:rFonts w:eastAsiaTheme="minorEastAsia"/>
              <w:bCs/>
              <w:noProof/>
              <w:sz w:val="12"/>
              <w:szCs w:val="12"/>
            </w:rPr>
            <w:fldChar w:fldCharType="end"/>
          </w:r>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798981BD" wp14:editId="2B4329B8">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2E63B5" w:rsidP="006A2C90">
          <w:pPr>
            <w:pStyle w:val="Header"/>
            <w:jc w:val="center"/>
            <w:rPr>
              <w:b/>
            </w:rPr>
          </w:pPr>
          <w:r>
            <w:rPr>
              <w:b/>
            </w:rPr>
            <w:t>Quote</w:t>
          </w:r>
        </w:p>
        <w:p w:rsidR="00ED2D6B" w:rsidRDefault="00ED2D6B" w:rsidP="006A2C90">
          <w:pPr>
            <w:pStyle w:val="Header"/>
            <w:jc w:val="center"/>
            <w:rPr>
              <w:b/>
            </w:rPr>
          </w:pPr>
          <w:r>
            <w:rPr>
              <w:b/>
            </w:rPr>
            <w:t>Division-28</w:t>
          </w:r>
          <w:r w:rsidR="00A46A87">
            <w:rPr>
              <w:b/>
            </w:rPr>
            <w:t xml:space="preserve"> Life Safety</w:t>
          </w:r>
        </w:p>
        <w:p w:rsidR="001B335D" w:rsidRPr="00B037B6" w:rsidRDefault="001B335D" w:rsidP="006A2C90">
          <w:pPr>
            <w:pStyle w:val="Header"/>
            <w:jc w:val="center"/>
            <w:rPr>
              <w:b/>
            </w:rPr>
          </w:pPr>
          <w:proofErr w:type="spellStart"/>
          <w:r w:rsidRPr="003A2238">
            <w:rPr>
              <w:b/>
              <w:sz w:val="36"/>
            </w:rPr>
            <w:t>TurnKey</w:t>
          </w:r>
          <w:proofErr w:type="spellEnd"/>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835C19">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0F168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352B"/>
    <w:rsid w:val="001C750E"/>
    <w:rsid w:val="001E3B8A"/>
    <w:rsid w:val="001E5B86"/>
    <w:rsid w:val="001F0A5D"/>
    <w:rsid w:val="001F67CB"/>
    <w:rsid w:val="001F718F"/>
    <w:rsid w:val="00202C5F"/>
    <w:rsid w:val="002047D8"/>
    <w:rsid w:val="00217707"/>
    <w:rsid w:val="002236EA"/>
    <w:rsid w:val="00231000"/>
    <w:rsid w:val="002362EB"/>
    <w:rsid w:val="00241C1C"/>
    <w:rsid w:val="00242464"/>
    <w:rsid w:val="00243952"/>
    <w:rsid w:val="00263758"/>
    <w:rsid w:val="00274E75"/>
    <w:rsid w:val="00276598"/>
    <w:rsid w:val="00277B8C"/>
    <w:rsid w:val="00281FB3"/>
    <w:rsid w:val="00286377"/>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2E63B5"/>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2A80"/>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4623F"/>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35C19"/>
    <w:rsid w:val="00843F53"/>
    <w:rsid w:val="008615E8"/>
    <w:rsid w:val="00862248"/>
    <w:rsid w:val="008711E7"/>
    <w:rsid w:val="0087500F"/>
    <w:rsid w:val="0087642F"/>
    <w:rsid w:val="00885E22"/>
    <w:rsid w:val="00892D40"/>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8F4CA9"/>
    <w:rsid w:val="00903341"/>
    <w:rsid w:val="009072EC"/>
    <w:rsid w:val="0091013D"/>
    <w:rsid w:val="00922CA8"/>
    <w:rsid w:val="009250E5"/>
    <w:rsid w:val="00930FAF"/>
    <w:rsid w:val="00931BEF"/>
    <w:rsid w:val="00936126"/>
    <w:rsid w:val="009414A9"/>
    <w:rsid w:val="00941F99"/>
    <w:rsid w:val="00942DC2"/>
    <w:rsid w:val="0094428A"/>
    <w:rsid w:val="00944D4F"/>
    <w:rsid w:val="009553FB"/>
    <w:rsid w:val="00955CD3"/>
    <w:rsid w:val="009611EA"/>
    <w:rsid w:val="009705D3"/>
    <w:rsid w:val="0098211E"/>
    <w:rsid w:val="009838AC"/>
    <w:rsid w:val="00987E61"/>
    <w:rsid w:val="009907BE"/>
    <w:rsid w:val="00990C9D"/>
    <w:rsid w:val="009976EF"/>
    <w:rsid w:val="009B2B1D"/>
    <w:rsid w:val="009C02B2"/>
    <w:rsid w:val="009C2CC6"/>
    <w:rsid w:val="009C7602"/>
    <w:rsid w:val="009D06FE"/>
    <w:rsid w:val="009F0171"/>
    <w:rsid w:val="009F3F57"/>
    <w:rsid w:val="00A064F6"/>
    <w:rsid w:val="00A139B2"/>
    <w:rsid w:val="00A179D3"/>
    <w:rsid w:val="00A21300"/>
    <w:rsid w:val="00A22C38"/>
    <w:rsid w:val="00A2382B"/>
    <w:rsid w:val="00A376A4"/>
    <w:rsid w:val="00A46A87"/>
    <w:rsid w:val="00A5475D"/>
    <w:rsid w:val="00A721E8"/>
    <w:rsid w:val="00A72513"/>
    <w:rsid w:val="00A74618"/>
    <w:rsid w:val="00A74E68"/>
    <w:rsid w:val="00A75CD3"/>
    <w:rsid w:val="00A77B79"/>
    <w:rsid w:val="00A806AC"/>
    <w:rsid w:val="00A83D05"/>
    <w:rsid w:val="00A84EDD"/>
    <w:rsid w:val="00A853D2"/>
    <w:rsid w:val="00A91DDD"/>
    <w:rsid w:val="00AA3B2C"/>
    <w:rsid w:val="00AA402E"/>
    <w:rsid w:val="00AA5ED4"/>
    <w:rsid w:val="00AB1517"/>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95531"/>
    <w:rsid w:val="00BA02C7"/>
    <w:rsid w:val="00BB19AE"/>
    <w:rsid w:val="00BF00CF"/>
    <w:rsid w:val="00BF78E3"/>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2685F"/>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56CB5"/>
    <w:rsid w:val="00E71923"/>
    <w:rsid w:val="00E76D77"/>
    <w:rsid w:val="00E76FFF"/>
    <w:rsid w:val="00E83F2D"/>
    <w:rsid w:val="00E860CB"/>
    <w:rsid w:val="00E91030"/>
    <w:rsid w:val="00E95639"/>
    <w:rsid w:val="00E95E21"/>
    <w:rsid w:val="00E96360"/>
    <w:rsid w:val="00EA3580"/>
    <w:rsid w:val="00EB0FC2"/>
    <w:rsid w:val="00EB4469"/>
    <w:rsid w:val="00EB4FDE"/>
    <w:rsid w:val="00ED2D6B"/>
    <w:rsid w:val="00ED4DC7"/>
    <w:rsid w:val="00EE1ABF"/>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115E"/>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E633F-E613-41BC-953C-8C0D1E43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17</cp:revision>
  <cp:lastPrinted>2023-01-11T16:14:00Z</cp:lastPrinted>
  <dcterms:created xsi:type="dcterms:W3CDTF">2023-01-11T16:12:00Z</dcterms:created>
  <dcterms:modified xsi:type="dcterms:W3CDTF">2023-01-11T16:45:00Z</dcterms:modified>
</cp:coreProperties>
</file>